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7363" w14:textId="77777777" w:rsidR="003E4584" w:rsidRPr="004C0984" w:rsidRDefault="003E4584" w:rsidP="004F3B12">
      <w:pPr>
        <w:widowControl/>
        <w:spacing w:line="480" w:lineRule="auto"/>
        <w:jc w:val="left"/>
        <w:rPr>
          <w:rFonts w:ascii="Times New Roman" w:eastAsia="SimSun" w:hAnsi="Times New Roman" w:cs="Times New Roman"/>
          <w:sz w:val="24"/>
          <w:szCs w:val="24"/>
        </w:rPr>
      </w:pPr>
    </w:p>
    <w:p w14:paraId="730F716D" w14:textId="77777777" w:rsidR="00CB1C65" w:rsidRPr="009E1A93" w:rsidRDefault="00CB1C65" w:rsidP="00531AAD">
      <w:pPr>
        <w:widowControl/>
        <w:spacing w:line="240" w:lineRule="atLeast"/>
        <w:jc w:val="left"/>
        <w:rPr>
          <w:rFonts w:ascii="Times New Roman" w:eastAsia="SimSun" w:hAnsi="Times New Roman" w:cs="Times New Roman"/>
          <w:sz w:val="24"/>
          <w:szCs w:val="24"/>
        </w:rPr>
      </w:pPr>
    </w:p>
    <w:p w14:paraId="10B56F6D" w14:textId="77777777" w:rsidR="003E4584" w:rsidRPr="009E1A93" w:rsidRDefault="003E4584" w:rsidP="00531AAD">
      <w:pPr>
        <w:widowControl/>
        <w:spacing w:line="240" w:lineRule="atLeast"/>
        <w:jc w:val="left"/>
        <w:rPr>
          <w:rFonts w:ascii="Times New Roman" w:eastAsia="SimSun" w:hAnsi="Times New Roman" w:cs="Times New Roman"/>
          <w:sz w:val="24"/>
          <w:szCs w:val="24"/>
        </w:rPr>
      </w:pPr>
    </w:p>
    <w:p w14:paraId="0CDEAAEF" w14:textId="3DA430FA" w:rsidR="00CB1C65" w:rsidRPr="003E4584" w:rsidRDefault="003E4584" w:rsidP="003E4584">
      <w:pPr>
        <w:spacing w:line="480" w:lineRule="auto"/>
        <w:rPr>
          <w:rFonts w:ascii="Times New Roman" w:hAnsi="Times New Roman" w:cs="Times New Roman"/>
          <w:sz w:val="28"/>
          <w:szCs w:val="28"/>
        </w:rPr>
      </w:pPr>
      <w:r w:rsidRPr="003E4584">
        <w:rPr>
          <w:rFonts w:ascii="Times New Roman" w:hAnsi="Times New Roman" w:cs="Times New Roman"/>
          <w:b/>
          <w:bCs/>
          <w:sz w:val="36"/>
          <w:szCs w:val="36"/>
        </w:rPr>
        <w:t xml:space="preserve">Multidisciplinary </w:t>
      </w:r>
      <w:r w:rsidRPr="003E4584">
        <w:rPr>
          <w:rFonts w:ascii="Times New Roman" w:hAnsi="Times New Roman" w:cs="Times New Roman" w:hint="eastAsia"/>
          <w:b/>
          <w:bCs/>
          <w:sz w:val="36"/>
          <w:szCs w:val="36"/>
        </w:rPr>
        <w:t xml:space="preserve">Team </w:t>
      </w:r>
      <w:r w:rsidRPr="003E4584">
        <w:rPr>
          <w:rFonts w:ascii="Times New Roman" w:hAnsi="Times New Roman" w:cs="Times New Roman"/>
          <w:b/>
          <w:bCs/>
          <w:sz w:val="36"/>
          <w:szCs w:val="36"/>
        </w:rPr>
        <w:t xml:space="preserve">Management of a </w:t>
      </w:r>
      <w:proofErr w:type="spellStart"/>
      <w:r w:rsidRPr="003E4584">
        <w:rPr>
          <w:rFonts w:ascii="Times New Roman" w:hAnsi="Times New Roman" w:cs="Times New Roman"/>
          <w:b/>
          <w:bCs/>
          <w:sz w:val="36"/>
          <w:szCs w:val="36"/>
        </w:rPr>
        <w:t>Krukenberg</w:t>
      </w:r>
      <w:proofErr w:type="spellEnd"/>
      <w:r w:rsidRPr="003E4584">
        <w:rPr>
          <w:rFonts w:ascii="Times New Roman" w:hAnsi="Times New Roman" w:cs="Times New Roman"/>
          <w:b/>
          <w:bCs/>
          <w:sz w:val="36"/>
          <w:szCs w:val="36"/>
        </w:rPr>
        <w:t xml:space="preserve"> Tumor Presenting with Pleural Effusion: A Case Report</w:t>
      </w:r>
    </w:p>
    <w:p w14:paraId="01A1E3AE" w14:textId="51F835AC" w:rsidR="00A150A1" w:rsidRPr="009E1A93" w:rsidRDefault="00E21545" w:rsidP="00361F22">
      <w:pPr>
        <w:spacing w:beforeLines="50" w:before="156" w:afterLines="50" w:after="156" w:line="480" w:lineRule="auto"/>
        <w:ind w:firstLine="420"/>
        <w:rPr>
          <w:rFonts w:ascii="Times New Roman" w:eastAsia="SimSun" w:hAnsi="Times New Roman" w:cs="Times New Roman"/>
          <w:szCs w:val="21"/>
        </w:rPr>
      </w:pPr>
      <w:r w:rsidRPr="009E1A93">
        <w:rPr>
          <w:rFonts w:ascii="Times New Roman" w:eastAsia="SimSun" w:hAnsi="Times New Roman" w:cs="Times New Roman" w:hint="eastAsia"/>
          <w:b/>
          <w:bCs/>
          <w:sz w:val="24"/>
          <w:szCs w:val="24"/>
        </w:rPr>
        <w:t>【</w:t>
      </w:r>
      <w:r w:rsidRPr="009E1A93">
        <w:rPr>
          <w:rFonts w:ascii="Times New Roman" w:eastAsia="SimSun" w:hAnsi="Times New Roman" w:cs="Times New Roman" w:hint="eastAsia"/>
          <w:b/>
          <w:bCs/>
          <w:sz w:val="24"/>
          <w:szCs w:val="24"/>
        </w:rPr>
        <w:t>Abstract</w:t>
      </w:r>
      <w:r w:rsidRPr="009E1A93">
        <w:rPr>
          <w:rFonts w:ascii="Times New Roman" w:eastAsia="SimSun" w:hAnsi="Times New Roman" w:cs="Times New Roman" w:hint="eastAsia"/>
          <w:b/>
          <w:bCs/>
          <w:sz w:val="24"/>
          <w:szCs w:val="24"/>
        </w:rPr>
        <w:t>】</w:t>
      </w:r>
      <w:r w:rsidRPr="009E1A93">
        <w:rPr>
          <w:rFonts w:ascii="Times New Roman" w:eastAsia="SimSun" w:hAnsi="Times New Roman" w:cs="Times New Roman"/>
          <w:szCs w:val="21"/>
        </w:rPr>
        <w:t xml:space="preserve"> </w:t>
      </w:r>
      <w:proofErr w:type="spellStart"/>
      <w:r w:rsidR="003E4584" w:rsidRPr="003E4584">
        <w:rPr>
          <w:rFonts w:ascii="Times New Roman" w:hAnsi="Times New Roman" w:cs="Times New Roman" w:hint="eastAsia"/>
          <w:szCs w:val="21"/>
        </w:rPr>
        <w:t>Krukenberg</w:t>
      </w:r>
      <w:proofErr w:type="spellEnd"/>
      <w:r w:rsidR="003E4584" w:rsidRPr="003E4584">
        <w:rPr>
          <w:rFonts w:ascii="Times New Roman" w:hAnsi="Times New Roman" w:cs="Times New Roman" w:hint="eastAsia"/>
          <w:szCs w:val="21"/>
        </w:rPr>
        <w:t xml:space="preserve"> tumors are a distinct form of ovarian metastasis, most commonly originating from gastrointestinal malignancies. Because primary lesions are often clinically silent, patients may present with atypical manifestations that delay diagnosis. We report a young woman who presented with isolated pleural effusion and was subsequently diagnosed with poorly differentiated gastric adenocarcinoma with ovarian and peritoneal metastases. The etiology was clarified through a multidisciplinary team (MDT) approach, and combination therapy incorporating immunotherapy, targeted therapy, and chemotherapy resulted in marked clinical improvement. This case underscores the importance of considering metastatic gastrointestinal malignancies in the differential diagnosis of unexplained exudative pleural effusion with elevated tumor markers in young women and highlights the value of MDT-driven strategies in expediting diagnosis and guiding individualized management in advanced disease.</w:t>
      </w:r>
    </w:p>
    <w:p w14:paraId="7CD4E1C9" w14:textId="372A13D6" w:rsidR="00E21545" w:rsidRPr="009E1A93" w:rsidRDefault="000232E4" w:rsidP="003E4584">
      <w:pPr>
        <w:spacing w:beforeLines="50" w:before="156" w:afterLines="50" w:after="156" w:line="480" w:lineRule="auto"/>
        <w:ind w:firstLine="420"/>
        <w:rPr>
          <w:rFonts w:ascii="Times New Roman" w:eastAsia="SimSun" w:hAnsi="Times New Roman" w:cs="Times New Roman"/>
          <w:sz w:val="24"/>
          <w:szCs w:val="24"/>
        </w:rPr>
      </w:pPr>
      <w:r w:rsidRPr="009E1A93">
        <w:rPr>
          <w:rFonts w:ascii="Times New Roman" w:eastAsia="SimSun" w:hAnsi="Times New Roman" w:cs="Times New Roman" w:hint="eastAsia"/>
          <w:b/>
          <w:bCs/>
          <w:sz w:val="24"/>
          <w:szCs w:val="24"/>
        </w:rPr>
        <w:t>【</w:t>
      </w:r>
      <w:r w:rsidRPr="009E1A93">
        <w:rPr>
          <w:rFonts w:ascii="Times New Roman" w:eastAsia="SimSun" w:hAnsi="Times New Roman" w:cs="Times New Roman" w:hint="eastAsia"/>
          <w:b/>
          <w:bCs/>
          <w:sz w:val="24"/>
          <w:szCs w:val="24"/>
        </w:rPr>
        <w:t>Key words</w:t>
      </w:r>
      <w:r w:rsidRPr="009E1A93">
        <w:rPr>
          <w:rFonts w:ascii="Times New Roman" w:eastAsia="SimSun" w:hAnsi="Times New Roman" w:cs="Times New Roman" w:hint="eastAsia"/>
          <w:b/>
          <w:bCs/>
          <w:sz w:val="24"/>
          <w:szCs w:val="24"/>
        </w:rPr>
        <w:t>】</w:t>
      </w:r>
      <w:r w:rsidR="00E21545" w:rsidRPr="009E1A93">
        <w:rPr>
          <w:rFonts w:ascii="Times New Roman" w:eastAsia="SimSun" w:hAnsi="Times New Roman" w:cs="Times New Roman" w:hint="eastAsia"/>
          <w:b/>
          <w:bCs/>
          <w:sz w:val="24"/>
          <w:szCs w:val="24"/>
        </w:rPr>
        <w:t>:</w:t>
      </w:r>
      <w:r w:rsidR="00781B8A" w:rsidRPr="009E1A93">
        <w:rPr>
          <w:rFonts w:ascii="Times New Roman" w:eastAsia="SimSun" w:hAnsi="Times New Roman" w:cs="Times New Roman" w:hint="eastAsia"/>
          <w:sz w:val="24"/>
          <w:szCs w:val="24"/>
        </w:rPr>
        <w:t xml:space="preserve"> </w:t>
      </w:r>
      <w:proofErr w:type="spellStart"/>
      <w:r w:rsidR="003E4584" w:rsidRPr="003E4584">
        <w:rPr>
          <w:rFonts w:ascii="Times New Roman" w:hAnsi="Times New Roman" w:cs="Times New Roman" w:hint="eastAsia"/>
          <w:szCs w:val="21"/>
        </w:rPr>
        <w:t>Krukenberg</w:t>
      </w:r>
      <w:proofErr w:type="spellEnd"/>
      <w:r w:rsidR="003E4584" w:rsidRPr="003E4584">
        <w:rPr>
          <w:rFonts w:ascii="Times New Roman" w:hAnsi="Times New Roman" w:cs="Times New Roman" w:hint="eastAsia"/>
          <w:szCs w:val="21"/>
        </w:rPr>
        <w:t xml:space="preserve"> tumor; Pleural effusion; Multidisciplinary Team</w:t>
      </w:r>
    </w:p>
    <w:p w14:paraId="1E89028E" w14:textId="638251B6" w:rsidR="0057455E" w:rsidRPr="009E1A93" w:rsidRDefault="00B94494">
      <w:pPr>
        <w:spacing w:beforeLines="50" w:before="156" w:afterLines="50" w:after="156" w:line="340" w:lineRule="exact"/>
        <w:jc w:val="left"/>
        <w:rPr>
          <w:rFonts w:ascii="Times New Roman" w:eastAsia="SimSun" w:hAnsi="Times New Roman" w:cs="Times New Roman"/>
          <w:b/>
          <w:bCs/>
          <w:sz w:val="24"/>
          <w:szCs w:val="24"/>
        </w:rPr>
      </w:pPr>
      <w:bookmarkStart w:id="0" w:name="OLE_LINK1"/>
      <w:r w:rsidRPr="009E1A93">
        <w:rPr>
          <w:rFonts w:ascii="Times New Roman" w:eastAsia="SimSun" w:hAnsi="Times New Roman" w:cs="Times New Roman"/>
          <w:b/>
          <w:bCs/>
          <w:sz w:val="24"/>
          <w:szCs w:val="24"/>
        </w:rPr>
        <w:t>Introduction</w:t>
      </w:r>
    </w:p>
    <w:p w14:paraId="0BB73503" w14:textId="6D51EA9A" w:rsidR="00E67578" w:rsidRPr="009E1A93" w:rsidRDefault="003E4584" w:rsidP="00DD79F0">
      <w:pPr>
        <w:spacing w:beforeLines="50" w:before="156" w:afterLines="50" w:after="156" w:line="480" w:lineRule="auto"/>
        <w:ind w:firstLineChars="200" w:firstLine="480"/>
        <w:rPr>
          <w:rFonts w:ascii="Times New Roman" w:eastAsia="SimSun" w:hAnsi="Times New Roman" w:cs="Times New Roman"/>
          <w:sz w:val="24"/>
          <w:szCs w:val="24"/>
        </w:rPr>
      </w:pPr>
      <w:r>
        <w:rPr>
          <w:rFonts w:ascii="Times New Roman" w:hAnsi="Times New Roman" w:cs="Times New Roman" w:hint="eastAsia"/>
          <w:sz w:val="24"/>
        </w:rPr>
        <w:t>Secondary ovarian tumors (STOs) originating from the gastrointestinal tract are most commonly of gastric origin, with an incidence of approximately 0.3%</w:t>
      </w:r>
      <w:r>
        <w:rPr>
          <w:rFonts w:ascii="Times New Roman" w:hAnsi="Times New Roman" w:cs="Times New Roman" w:hint="eastAsia"/>
          <w:sz w:val="24"/>
        </w:rPr>
        <w:t>–</w:t>
      </w:r>
      <w:r>
        <w:rPr>
          <w:rFonts w:ascii="Times New Roman" w:hAnsi="Times New Roman" w:cs="Times New Roman" w:hint="eastAsia"/>
          <w:sz w:val="24"/>
        </w:rPr>
        <w:t>6.7%.</w:t>
      </w:r>
      <w:r w:rsidRPr="008E6BB8">
        <w:rPr>
          <w:rFonts w:ascii="Times New Roman" w:hAnsi="Times New Roman" w:cs="Times New Roman" w:hint="eastAsia"/>
          <w:sz w:val="24"/>
          <w:vertAlign w:val="superscript"/>
        </w:rPr>
        <w:t>1,2</w:t>
      </w:r>
      <w:r>
        <w:rPr>
          <w:rFonts w:ascii="Times New Roman" w:hAnsi="Times New Roman" w:cs="Times New Roman" w:hint="eastAsia"/>
          <w:sz w:val="24"/>
        </w:rPr>
        <w:t xml:space="preserve"> Clinically, these tumors often present with insidious and non-specific symptoms, making early diagnosis challenging and leading to frequent misclassification as primary ovarian </w:t>
      </w:r>
      <w:r>
        <w:rPr>
          <w:rFonts w:ascii="Times New Roman" w:hAnsi="Times New Roman" w:cs="Times New Roman" w:hint="eastAsia"/>
          <w:sz w:val="24"/>
        </w:rPr>
        <w:lastRenderedPageBreak/>
        <w:t>neoplasms. In the absence of specific biomarkers, diagnosis generally depends on imaging in conjunction with pathological evaluation; however, distinguishing STOs from primary ovarian malignancies remains difficult and may result in delays in appropriate management. Multidisciplinary team (MDT) collaboration integrates expertise across specialties and has been shown to improve diagnostic accuracy and facilitate individualized treatment planning for complex metastatic tumors. The present case, which began with unexplained pleural effusion and was subsequently diagnosed as poorly differentiated gastric adenocarcinoma with ovarian metastasis, underscores the essential role of MDT in the timely diagnosis and management of challenging malignancies</w:t>
      </w:r>
      <w:r w:rsidR="00CF7E91" w:rsidRPr="009E1A93">
        <w:rPr>
          <w:rFonts w:ascii="Times New Roman" w:eastAsia="SimSun" w:hAnsi="Times New Roman" w:cs="Times New Roman" w:hint="eastAsia"/>
          <w:sz w:val="24"/>
          <w:szCs w:val="24"/>
        </w:rPr>
        <w:t>.</w:t>
      </w:r>
    </w:p>
    <w:p w14:paraId="4BE8B20E" w14:textId="77777777" w:rsidR="00F244EE" w:rsidRPr="00F244EE" w:rsidRDefault="00F244EE" w:rsidP="00045026">
      <w:pPr>
        <w:spacing w:beforeLines="50" w:before="156" w:afterLines="50" w:after="156"/>
        <w:rPr>
          <w:rFonts w:ascii="Times New Roman" w:eastAsia="SimSun" w:hAnsi="Times New Roman" w:cs="Times New Roman"/>
          <w:b/>
          <w:bCs/>
          <w:sz w:val="24"/>
          <w:szCs w:val="24"/>
        </w:rPr>
      </w:pPr>
      <w:r w:rsidRPr="00F244EE">
        <w:rPr>
          <w:rFonts w:ascii="Times New Roman" w:eastAsia="SimSun" w:hAnsi="Times New Roman" w:cs="Times New Roman"/>
          <w:b/>
          <w:bCs/>
          <w:sz w:val="24"/>
          <w:szCs w:val="24"/>
        </w:rPr>
        <w:t>Methods and Results</w:t>
      </w:r>
    </w:p>
    <w:p w14:paraId="6A4FC3F0" w14:textId="0ABE91B6" w:rsidR="00CD4857" w:rsidRPr="00F244EE" w:rsidRDefault="005D542B" w:rsidP="00045026">
      <w:pPr>
        <w:spacing w:beforeLines="50" w:before="156" w:afterLines="50" w:after="156"/>
        <w:rPr>
          <w:rFonts w:ascii="Times New Roman" w:hAnsi="Times New Roman" w:cs="Times New Roman"/>
          <w:sz w:val="24"/>
          <w:szCs w:val="24"/>
        </w:rPr>
      </w:pPr>
      <w:r>
        <w:rPr>
          <w:rFonts w:ascii="Times New Roman" w:eastAsia="SimSun" w:hAnsi="Times New Roman" w:cs="Times New Roman" w:hint="eastAsia"/>
          <w:b/>
          <w:bCs/>
          <w:sz w:val="24"/>
          <w:szCs w:val="24"/>
        </w:rPr>
        <w:t>Case Report</w:t>
      </w:r>
    </w:p>
    <w:p w14:paraId="5300A85C" w14:textId="0A3DF1BB" w:rsidR="00093476" w:rsidRPr="009E1A93" w:rsidRDefault="007F41A1" w:rsidP="00D37F53">
      <w:pPr>
        <w:spacing w:line="480" w:lineRule="auto"/>
        <w:ind w:firstLineChars="200" w:firstLine="480"/>
        <w:rPr>
          <w:rFonts w:ascii="Times New Roman" w:eastAsia="SimSun" w:hAnsi="Times New Roman" w:cs="Times New Roman"/>
          <w:sz w:val="24"/>
          <w:szCs w:val="24"/>
        </w:rPr>
      </w:pPr>
      <w:r>
        <w:rPr>
          <w:rFonts w:ascii="Times New Roman" w:hAnsi="Times New Roman" w:cs="Times New Roman" w:hint="eastAsia"/>
          <w:sz w:val="24"/>
        </w:rPr>
        <w:t xml:space="preserve">A 37-year-old woman presented to our hospital on July 7, 2025, with a 3-day history of dyspnea and right-sided chest pain, accompanied by an unintentional weight loss of approximately 3.9 kg over the preceding three months. Chest computed tomography (CT) revealed a moderate right-sided pleural effusion with associated atelectasis. Thoracentesis yielded deep-yellow, turbid pleural fluid with visible </w:t>
      </w:r>
      <w:r w:rsidRPr="008E6BB8">
        <w:rPr>
          <w:rFonts w:ascii="Times New Roman" w:hAnsi="Times New Roman" w:cs="Times New Roman" w:hint="eastAsia"/>
          <w:sz w:val="24"/>
        </w:rPr>
        <w:t>clots.</w:t>
      </w:r>
      <w:r>
        <w:rPr>
          <w:rFonts w:ascii="Times New Roman" w:hAnsi="Times New Roman" w:cs="Times New Roman" w:hint="eastAsia"/>
          <w:sz w:val="24"/>
        </w:rPr>
        <w:t xml:space="preserve"> Pleural fluid analysis showed markedly elevated carcinoembryonic antigen (CEA; 131.81 ng/mL) and lactate dehydrogenase (LDH; 279 U/L), while serum CA125 (285.5 U/mL) and CA19-9 (286.2 U/mL) levels were also elevated. D-dimer was significantly increased (10,680 ng/mL), and serum total protein was reduced (52.4 g/L). Positron emission tomography</w:t>
      </w:r>
      <w:r>
        <w:rPr>
          <w:rFonts w:ascii="Times New Roman" w:hAnsi="Times New Roman" w:cs="Times New Roman" w:hint="eastAsia"/>
          <w:sz w:val="24"/>
        </w:rPr>
        <w:t>–</w:t>
      </w:r>
      <w:r>
        <w:rPr>
          <w:rFonts w:ascii="Times New Roman" w:hAnsi="Times New Roman" w:cs="Times New Roman" w:hint="eastAsia"/>
          <w:sz w:val="24"/>
        </w:rPr>
        <w:t xml:space="preserve">computed tomography (PET-CT) (Figure 1) demonstrated bilateral ovarian masses with multiple hypermetabolic nodular lesions, suggestive of malignancy and requiring differentiation </w:t>
      </w:r>
      <w:r>
        <w:rPr>
          <w:rFonts w:ascii="Times New Roman" w:hAnsi="Times New Roman" w:cs="Times New Roman" w:hint="eastAsia"/>
          <w:sz w:val="24"/>
        </w:rPr>
        <w:lastRenderedPageBreak/>
        <w:t>from primary ovarian carcinoma. In addition, irregular thickening of the right pleura and peritoneum with increased fluorodeoxyglucose uptake was observed, with indistinct borders involving adjacent organs, raising suspicion for pleural and peritoneal metastases. Based on prompt multidisciplinary integration of imaging findings by the Departments of Radiology, Respiratory Medicine, and Gynecology, the diagnostic focus was shifted from the thorax to the abdominal cavity.</w:t>
      </w:r>
    </w:p>
    <w:p w14:paraId="23FA28A1" w14:textId="53CEA976" w:rsidR="007F41A1" w:rsidRDefault="007F41A1" w:rsidP="00AC042A">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Pelvic ultrasonography revealed only a small amount of pelvic effusion without evidence of a primary ovarian mass, and the patient was referred to the Gynecology department for further evaluation. Cytological examination of the pleural effusion (Figure 2) revealed epithelioid tumor cells arranged in nests, with a high nuclear-to-cytoplasmic ratio, marked nuclear atypia, irregular nuclear membranes, small nucleoli, and focal signet-ring</w:t>
      </w:r>
      <w:r>
        <w:rPr>
          <w:rFonts w:ascii="Times New Roman" w:hAnsi="Times New Roman" w:cs="Times New Roman" w:hint="eastAsia"/>
          <w:sz w:val="24"/>
        </w:rPr>
        <w:t>–</w:t>
      </w:r>
      <w:r>
        <w:rPr>
          <w:rFonts w:ascii="Times New Roman" w:hAnsi="Times New Roman" w:cs="Times New Roman" w:hint="eastAsia"/>
          <w:sz w:val="24"/>
        </w:rPr>
        <w:t>like features. Immunohistochemical staining showed positivity for Claudin 4, BerEP4, CK7, CK20 (focal), CDX-2, SATB2 (weak), CEA, and retained BAP1 expression, while TTF-1, Napsin A, PAX8, and GATA3 were negative. WT-1 and CK5/6 highlighted mesothelial cells; P53 showed heterogeneous expression (approximately 30%), and scattered P16-positive tumor cells were observed. CD68 and CD163 marked background histiocytes. These analysis supported the diagnosis of metastatic adenocarcinoma. Whole-abdominal magnetic resonance imaging (MRI) (Figure 3) demonstrated a cystic</w:t>
      </w:r>
      <w:r>
        <w:rPr>
          <w:rFonts w:ascii="Times New Roman" w:hAnsi="Times New Roman" w:cs="Times New Roman" w:hint="eastAsia"/>
          <w:sz w:val="24"/>
        </w:rPr>
        <w:t>–</w:t>
      </w:r>
      <w:r>
        <w:rPr>
          <w:rFonts w:ascii="Times New Roman" w:hAnsi="Times New Roman" w:cs="Times New Roman" w:hint="eastAsia"/>
          <w:sz w:val="24"/>
        </w:rPr>
        <w:t xml:space="preserve">solid lesion in the left adnexal region, diffuse peritoneal thickening with contrast enhancement, and omental involvement. Upper gastrointestinal endoscopy(Figure 2) performed on July 14 identified a lesion in the gastric corpus, and </w:t>
      </w:r>
      <w:r>
        <w:rPr>
          <w:rFonts w:ascii="Times New Roman" w:hAnsi="Times New Roman" w:cs="Times New Roman" w:hint="eastAsia"/>
          <w:sz w:val="24"/>
        </w:rPr>
        <w:lastRenderedPageBreak/>
        <w:t>biopsy confirmed poorly differentiated gastric adenocarcinoma(Figure 2). Immunohistochemistry of the biopsy specimen showed Claudin 18.2 negativity, HER2 (2+) expression, and preserved mismatch repair protein expression (MLH1, MSH2, MSH6, and PMS2).</w:t>
      </w:r>
    </w:p>
    <w:p w14:paraId="67475D0A" w14:textId="230BCD96" w:rsidR="007F41A1" w:rsidRDefault="007F41A1" w:rsidP="007F41A1">
      <w:pPr>
        <w:spacing w:line="480" w:lineRule="auto"/>
        <w:rPr>
          <w:rFonts w:ascii="Times New Roman" w:hAnsi="Times New Roman" w:cs="Times New Roman"/>
          <w:sz w:val="24"/>
        </w:rPr>
      </w:pPr>
      <w:r>
        <w:rPr>
          <w:rFonts w:ascii="Times New Roman" w:hAnsi="Times New Roman" w:cs="Times New Roman" w:hint="eastAsia"/>
          <w:sz w:val="24"/>
        </w:rPr>
        <w:t xml:space="preserve">Based on multidisciplinary team (MDT) evaluation, the diagnosis was confirmed as Stage IV gastric carcinoma (cT1NxM1) with ovarian and thoracoabdominal peritoneal metastases. The patient was treated with a comprehensive regimen consisting of </w:t>
      </w:r>
      <w:proofErr w:type="spellStart"/>
      <w:r>
        <w:rPr>
          <w:rFonts w:ascii="Times New Roman" w:hAnsi="Times New Roman" w:cs="Times New Roman" w:hint="eastAsia"/>
          <w:sz w:val="24"/>
        </w:rPr>
        <w:t>cadonilimab</w:t>
      </w:r>
      <w:proofErr w:type="spellEnd"/>
      <w:r>
        <w:rPr>
          <w:rFonts w:ascii="Times New Roman" w:hAnsi="Times New Roman" w:cs="Times New Roman" w:hint="eastAsia"/>
          <w:sz w:val="24"/>
        </w:rPr>
        <w:t xml:space="preserve"> (a PD-1/CTLA-4 bispecific antibody; 500 mg intravenously), </w:t>
      </w:r>
      <w:proofErr w:type="spellStart"/>
      <w:r>
        <w:rPr>
          <w:rFonts w:ascii="Times New Roman" w:hAnsi="Times New Roman" w:cs="Times New Roman" w:hint="eastAsia"/>
          <w:sz w:val="24"/>
        </w:rPr>
        <w:t>anlotinib</w:t>
      </w:r>
      <w:proofErr w:type="spellEnd"/>
      <w:r>
        <w:rPr>
          <w:rFonts w:ascii="Times New Roman" w:hAnsi="Times New Roman" w:cs="Times New Roman" w:hint="eastAsia"/>
          <w:sz w:val="24"/>
        </w:rPr>
        <w:t xml:space="preserve"> hydrochloride (multi-targeted tyrosine kinase inhibitor; 8 mg orally once daily, administered on a 2-weeks-on/1-week-off schedule), an</w:t>
      </w:r>
      <w:r w:rsidRPr="00533CB1">
        <w:rPr>
          <w:rFonts w:ascii="Times New Roman" w:hAnsi="Times New Roman" w:cs="Times New Roman" w:hint="eastAsia"/>
          <w:color w:val="000000" w:themeColor="text1"/>
          <w:sz w:val="24"/>
        </w:rPr>
        <w:t>d S-1 (tegafur</w:t>
      </w:r>
      <w:r>
        <w:rPr>
          <w:rFonts w:ascii="Times New Roman" w:hAnsi="Times New Roman" w:cs="Times New Roman" w:hint="eastAsia"/>
          <w:sz w:val="24"/>
        </w:rPr>
        <w:t>–</w:t>
      </w:r>
      <w:proofErr w:type="spellStart"/>
      <w:r>
        <w:rPr>
          <w:rFonts w:ascii="Times New Roman" w:hAnsi="Times New Roman" w:cs="Times New Roman" w:hint="eastAsia"/>
          <w:sz w:val="24"/>
        </w:rPr>
        <w:t>gimeracil</w:t>
      </w:r>
      <w:proofErr w:type="spellEnd"/>
      <w:r>
        <w:rPr>
          <w:rFonts w:ascii="Times New Roman" w:hAnsi="Times New Roman" w:cs="Times New Roman" w:hint="eastAsia"/>
          <w:sz w:val="24"/>
        </w:rPr>
        <w:t>–</w:t>
      </w:r>
      <w:proofErr w:type="spellStart"/>
      <w:r>
        <w:rPr>
          <w:rFonts w:ascii="Times New Roman" w:hAnsi="Times New Roman" w:cs="Times New Roman" w:hint="eastAsia"/>
          <w:sz w:val="24"/>
        </w:rPr>
        <w:t>oteracil</w:t>
      </w:r>
      <w:proofErr w:type="spellEnd"/>
      <w:r>
        <w:rPr>
          <w:rFonts w:ascii="Times New Roman" w:hAnsi="Times New Roman" w:cs="Times New Roman" w:hint="eastAsia"/>
          <w:sz w:val="24"/>
        </w:rPr>
        <w:t xml:space="preserve">, 40 mg orally twice daily, 2-weeks-on/1-week-off), supplemented with intravenous oxaliplatin (130 mg). Additional supportive measures included local thoracic treatment, deep hyperthermia, and nutritional support. Following treatment initiation, pleural effusion markedly decreased, dyspnea resolved, and serum tumor markers had largely normalized. From August 2025 onward, the patient continued regular treatment with the same regimen and demonstrated sustained clinical improvement. By completion of the </w:t>
      </w:r>
      <w:r w:rsidR="0067550F">
        <w:rPr>
          <w:rFonts w:ascii="Times New Roman" w:hAnsi="Times New Roman" w:cs="Times New Roman" w:hint="eastAsia"/>
          <w:sz w:val="24"/>
        </w:rPr>
        <w:t>11</w:t>
      </w:r>
      <w:r>
        <w:rPr>
          <w:rFonts w:ascii="Times New Roman" w:hAnsi="Times New Roman" w:cs="Times New Roman" w:hint="eastAsia"/>
          <w:sz w:val="24"/>
        </w:rPr>
        <w:t>th treatment cycle on November 27</w:t>
      </w:r>
      <w:r w:rsidR="0067550F">
        <w:rPr>
          <w:rFonts w:ascii="Times New Roman" w:hAnsi="Times New Roman" w:cs="Times New Roman" w:hint="eastAsia"/>
          <w:sz w:val="24"/>
        </w:rPr>
        <w:t>, 2025</w:t>
      </w:r>
      <w:r>
        <w:rPr>
          <w:rFonts w:ascii="Times New Roman" w:hAnsi="Times New Roman" w:cs="Times New Roman" w:hint="eastAsia"/>
          <w:sz w:val="24"/>
        </w:rPr>
        <w:t>, imaging showed complete resolution of the pleural effusion and reduction in bilateral ovarian and pleural</w:t>
      </w:r>
      <w:r>
        <w:rPr>
          <w:rFonts w:ascii="Times New Roman" w:hAnsi="Times New Roman" w:cs="Times New Roman" w:hint="eastAsia"/>
          <w:sz w:val="24"/>
        </w:rPr>
        <w:t>–</w:t>
      </w:r>
      <w:r>
        <w:rPr>
          <w:rFonts w:ascii="Times New Roman" w:hAnsi="Times New Roman" w:cs="Times New Roman" w:hint="eastAsia"/>
          <w:sz w:val="24"/>
        </w:rPr>
        <w:t>peritoneal metastatic lesions.</w:t>
      </w:r>
    </w:p>
    <w:p w14:paraId="49412C66" w14:textId="182A88DD" w:rsidR="00CD4857" w:rsidRPr="009E1A93" w:rsidRDefault="0045687E" w:rsidP="00AC042A">
      <w:pPr>
        <w:spacing w:beforeLines="50" w:before="156" w:afterLines="50" w:after="156" w:line="480" w:lineRule="auto"/>
        <w:rPr>
          <w:rFonts w:ascii="Times New Roman" w:eastAsia="SimSun" w:hAnsi="Times New Roman" w:cs="Times New Roman"/>
          <w:b/>
          <w:bCs/>
          <w:sz w:val="24"/>
          <w:szCs w:val="24"/>
        </w:rPr>
      </w:pPr>
      <w:r w:rsidRPr="009E1A93">
        <w:rPr>
          <w:rFonts w:ascii="Times New Roman" w:eastAsia="SimSun" w:hAnsi="Times New Roman" w:cs="Times New Roman"/>
          <w:b/>
          <w:bCs/>
          <w:sz w:val="24"/>
          <w:szCs w:val="24"/>
        </w:rPr>
        <w:t>Discussion</w:t>
      </w:r>
    </w:p>
    <w:p w14:paraId="1400EF89" w14:textId="77777777" w:rsidR="00533CB1" w:rsidRDefault="00000000" w:rsidP="00533CB1">
      <w:pPr>
        <w:spacing w:line="480" w:lineRule="auto"/>
        <w:rPr>
          <w:rFonts w:ascii="Times New Roman" w:hAnsi="Times New Roman" w:cs="Times New Roman"/>
          <w:sz w:val="24"/>
        </w:rPr>
      </w:pPr>
      <w:r w:rsidRPr="009E1A93">
        <w:rPr>
          <w:rFonts w:ascii="Times New Roman" w:eastAsia="SimSun" w:hAnsi="Times New Roman" w:cs="Times New Roman"/>
          <w:sz w:val="24"/>
          <w:szCs w:val="24"/>
        </w:rPr>
        <w:tab/>
      </w:r>
      <w:proofErr w:type="spellStart"/>
      <w:r w:rsidR="00533CB1">
        <w:rPr>
          <w:rFonts w:ascii="Times New Roman" w:hAnsi="Times New Roman" w:cs="Times New Roman" w:hint="eastAsia"/>
          <w:sz w:val="24"/>
        </w:rPr>
        <w:t>Krukenberg</w:t>
      </w:r>
      <w:proofErr w:type="spellEnd"/>
      <w:r w:rsidR="00533CB1">
        <w:rPr>
          <w:rFonts w:ascii="Times New Roman" w:hAnsi="Times New Roman" w:cs="Times New Roman" w:hint="eastAsia"/>
          <w:sz w:val="24"/>
        </w:rPr>
        <w:t xml:space="preserve"> tumors most commonly arise from metastatic gastrointestinal </w:t>
      </w:r>
      <w:r w:rsidR="00533CB1">
        <w:rPr>
          <w:rFonts w:ascii="Times New Roman" w:hAnsi="Times New Roman" w:cs="Times New Roman" w:hint="eastAsia"/>
          <w:sz w:val="24"/>
        </w:rPr>
        <w:lastRenderedPageBreak/>
        <w:t>malignancies, particularly gastric or colorectal cancer, and account for approximately 1%</w:t>
      </w:r>
      <w:r w:rsidR="00533CB1">
        <w:rPr>
          <w:rFonts w:ascii="Times New Roman" w:hAnsi="Times New Roman" w:cs="Times New Roman" w:hint="eastAsia"/>
          <w:sz w:val="24"/>
        </w:rPr>
        <w:t>–</w:t>
      </w:r>
      <w:r w:rsidR="00533CB1">
        <w:rPr>
          <w:rFonts w:ascii="Times New Roman" w:hAnsi="Times New Roman" w:cs="Times New Roman" w:hint="eastAsia"/>
          <w:sz w:val="24"/>
        </w:rPr>
        <w:t>2% of all ovarian neoplasms.</w:t>
      </w:r>
      <w:r w:rsidR="00533CB1" w:rsidRPr="008E6BB8">
        <w:rPr>
          <w:rFonts w:ascii="Times New Roman" w:hAnsi="Times New Roman" w:cs="Times New Roman" w:hint="eastAsia"/>
          <w:sz w:val="24"/>
          <w:vertAlign w:val="superscript"/>
        </w:rPr>
        <w:t>3,4</w:t>
      </w:r>
      <w:r w:rsidR="00533CB1">
        <w:rPr>
          <w:rFonts w:ascii="Times New Roman" w:hAnsi="Times New Roman" w:cs="Times New Roman" w:hint="eastAsia"/>
          <w:sz w:val="24"/>
        </w:rPr>
        <w:t xml:space="preserve"> They frequently involve both ovaries, exhibit aggressive behavior, and carry a poor prognosis in advanced disease. Although pleural effusion may occur in late-stage gastric cancer, it is exceedingly rare as an initial manifestation. </w:t>
      </w:r>
      <w:bookmarkStart w:id="1" w:name="_Hlk217255993"/>
      <w:r w:rsidR="00533CB1">
        <w:rPr>
          <w:rFonts w:ascii="Times New Roman" w:hAnsi="Times New Roman" w:cs="Times New Roman" w:hint="eastAsia"/>
          <w:sz w:val="24"/>
        </w:rPr>
        <w:t>In the present case, the small and clinically silent primary gastric lesion resulted in a presentation dominated by metastatic disease.</w:t>
      </w:r>
      <w:bookmarkStart w:id="2" w:name="_Hlk201415454"/>
      <w:bookmarkEnd w:id="1"/>
    </w:p>
    <w:p w14:paraId="0DB02891" w14:textId="7DF75190" w:rsidR="00533CB1" w:rsidRPr="00533CB1" w:rsidRDefault="00533CB1" w:rsidP="00533CB1">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 xml:space="preserve">Several mechanisms may account for the development of pleural effusion. Lymphatic spread via retroperitoneal channels to mediastinal and subpleural lymphatics may cause lymphatic obstruction, as supported by the MRI findings of retroperitoneal and para-aortic lymph node metastases. Peritoneal dissemination with transdiaphragmatic spread may allow tumor cells to reach the pleural cavity, while hematogenous dissemination is also plausible, particularly in signet-ring cell carcinoma, which is prone to blood-borne and </w:t>
      </w:r>
      <w:proofErr w:type="spellStart"/>
      <w:r>
        <w:rPr>
          <w:rFonts w:ascii="Times New Roman" w:hAnsi="Times New Roman" w:cs="Times New Roman" w:hint="eastAsia"/>
          <w:sz w:val="24"/>
        </w:rPr>
        <w:t>implantative</w:t>
      </w:r>
      <w:proofErr w:type="spellEnd"/>
      <w:r>
        <w:rPr>
          <w:rFonts w:ascii="Times New Roman" w:hAnsi="Times New Roman" w:cs="Times New Roman" w:hint="eastAsia"/>
          <w:sz w:val="24"/>
        </w:rPr>
        <w:t xml:space="preserve"> metastasis and is associated with poor prognosis.</w:t>
      </w:r>
      <w:r w:rsidRPr="008E6BB8">
        <w:rPr>
          <w:rFonts w:ascii="Times New Roman" w:hAnsi="Times New Roman" w:cs="Times New Roman" w:hint="eastAsia"/>
          <w:sz w:val="24"/>
          <w:vertAlign w:val="superscript"/>
        </w:rPr>
        <w:t>5,6</w:t>
      </w:r>
      <w:r>
        <w:rPr>
          <w:rFonts w:ascii="Times New Roman" w:hAnsi="Times New Roman" w:cs="Times New Roman" w:hint="eastAsia"/>
          <w:sz w:val="24"/>
        </w:rPr>
        <w:t xml:space="preserve"> </w:t>
      </w:r>
      <w:proofErr w:type="spellStart"/>
      <w:r>
        <w:rPr>
          <w:rFonts w:ascii="Times New Roman" w:hAnsi="Times New Roman" w:cs="Times New Roman" w:hint="eastAsia"/>
          <w:sz w:val="24"/>
        </w:rPr>
        <w:t>Krukenberg</w:t>
      </w:r>
      <w:proofErr w:type="spellEnd"/>
      <w:r>
        <w:rPr>
          <w:rFonts w:ascii="Times New Roman" w:hAnsi="Times New Roman" w:cs="Times New Roman" w:hint="eastAsia"/>
          <w:sz w:val="24"/>
        </w:rPr>
        <w:t xml:space="preserve"> tumors have occasionally been reported to present with pseudo-Meigs syndrome, characterized by respiratory symptoms mimicking pulmonary infection.</w:t>
      </w:r>
      <w:r w:rsidRPr="008E6BB8">
        <w:rPr>
          <w:rFonts w:ascii="Times New Roman" w:hAnsi="Times New Roman" w:cs="Times New Roman" w:hint="eastAsia"/>
          <w:sz w:val="24"/>
          <w:vertAlign w:val="superscript"/>
        </w:rPr>
        <w:t>7</w:t>
      </w:r>
      <w:r>
        <w:rPr>
          <w:rFonts w:ascii="Times New Roman" w:hAnsi="Times New Roman" w:cs="Times New Roman" w:hint="eastAsia"/>
          <w:sz w:val="24"/>
        </w:rPr>
        <w:t xml:space="preserve"> Unlike classic Meigs syndrome</w:t>
      </w:r>
      <w:r>
        <w:rPr>
          <w:rFonts w:ascii="Times New Roman" w:hAnsi="Times New Roman" w:cs="Times New Roman" w:hint="eastAsia"/>
          <w:sz w:val="24"/>
        </w:rPr>
        <w:t>—</w:t>
      </w:r>
      <w:r>
        <w:rPr>
          <w:rFonts w:ascii="Times New Roman" w:hAnsi="Times New Roman" w:cs="Times New Roman" w:hint="eastAsia"/>
          <w:sz w:val="24"/>
        </w:rPr>
        <w:t>typically associated with ovarian fibromas and resolving after tumor resection with favorable outcomes</w:t>
      </w:r>
      <w:r>
        <w:rPr>
          <w:rFonts w:ascii="Times New Roman" w:hAnsi="Times New Roman" w:cs="Times New Roman" w:hint="eastAsia"/>
          <w:sz w:val="24"/>
        </w:rPr>
        <w:t>—</w:t>
      </w:r>
      <w:r>
        <w:rPr>
          <w:rFonts w:ascii="Times New Roman" w:hAnsi="Times New Roman" w:cs="Times New Roman" w:hint="eastAsia"/>
          <w:sz w:val="24"/>
        </w:rPr>
        <w:t>pseudo-Meigs syndrome is linked to malignant disease, with pleural or peritoneal effusions often persisting after surgery and prognosis dependent on tumor biology and timing of diagnosis and treatment.</w:t>
      </w:r>
      <w:r w:rsidRPr="008E6BB8">
        <w:rPr>
          <w:rFonts w:ascii="Times New Roman" w:hAnsi="Times New Roman" w:cs="Times New Roman" w:hint="eastAsia"/>
          <w:sz w:val="24"/>
          <w:vertAlign w:val="superscript"/>
        </w:rPr>
        <w:t xml:space="preserve"> 8</w:t>
      </w:r>
      <w:r w:rsidRPr="008E6BB8">
        <w:rPr>
          <w:rFonts w:ascii="Times New Roman" w:hAnsi="Times New Roman" w:cs="Times New Roman" w:hint="eastAsia"/>
          <w:sz w:val="24"/>
          <w:vertAlign w:val="superscript"/>
        </w:rPr>
        <w:t>–</w:t>
      </w:r>
      <w:r w:rsidRPr="008E6BB8">
        <w:rPr>
          <w:rFonts w:ascii="Times New Roman" w:hAnsi="Times New Roman" w:cs="Times New Roman" w:hint="eastAsia"/>
          <w:sz w:val="24"/>
          <w:vertAlign w:val="superscript"/>
        </w:rPr>
        <w:t>10</w:t>
      </w:r>
      <w:bookmarkEnd w:id="2"/>
    </w:p>
    <w:p w14:paraId="2579C66A" w14:textId="11E8090E" w:rsidR="0091246F" w:rsidRPr="00533CB1" w:rsidRDefault="00533CB1" w:rsidP="00533CB1">
      <w:pPr>
        <w:spacing w:line="480" w:lineRule="auto"/>
        <w:ind w:firstLineChars="200" w:firstLine="480"/>
        <w:rPr>
          <w:rFonts w:ascii="Times New Roman" w:eastAsia="SimSun" w:hAnsi="Times New Roman" w:cs="Times New Roman"/>
          <w:sz w:val="24"/>
          <w:szCs w:val="24"/>
        </w:rPr>
      </w:pPr>
      <w:r>
        <w:rPr>
          <w:rFonts w:ascii="Times New Roman" w:hAnsi="Times New Roman" w:cs="Times New Roman" w:hint="eastAsia"/>
          <w:sz w:val="24"/>
        </w:rPr>
        <w:t>The diagnostic challenges in this case arose from two main factors. First, the patient</w:t>
      </w:r>
      <w:r>
        <w:rPr>
          <w:rFonts w:ascii="Times New Roman" w:hAnsi="Times New Roman" w:cs="Times New Roman" w:hint="eastAsia"/>
          <w:sz w:val="24"/>
        </w:rPr>
        <w:t>’</w:t>
      </w:r>
      <w:r>
        <w:rPr>
          <w:rFonts w:ascii="Times New Roman" w:hAnsi="Times New Roman" w:cs="Times New Roman" w:hint="eastAsia"/>
          <w:sz w:val="24"/>
        </w:rPr>
        <w:lastRenderedPageBreak/>
        <w:t>s symptoms were misleading: common respiratory manifestations readily directed initial evaluation toward pulmonary disease. Second, the primary gastric lesion was clinically silent, and in the absence of overt gastrointestinal symptoms, underlying digestive tract malignancies are easily overlooked. These challenges highlight several important considerations for clinical practice. First, the differential diagnosis of unexplained exudative pleural effusion should be broadened to include metastatic disease originating from the gastrointestinal and gynecologic systems. Second, whole-body imaging can facilitate early identification of occult primary tumors and assessment of systemic involvement. In the present case, PET-CT played a pivotal role by revealing hypermetabolic lesions in the ovaries and peritoneum, thereby redirecting diagnostic attention from the thorax to the abdomen. Third, cytological examination and immunohistochemical analysis of pleural effusion are essential for determining tumor origin and narrowing diagnostic possibilities.</w:t>
      </w:r>
    </w:p>
    <w:p w14:paraId="3CAB6931" w14:textId="2E99E1CC" w:rsidR="0035370F" w:rsidRDefault="00533CB1" w:rsidP="0035370F">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 xml:space="preserve">There is currently no clear consensus on the optimal timing and treatment regimen for </w:t>
      </w:r>
      <w:proofErr w:type="spellStart"/>
      <w:r>
        <w:rPr>
          <w:rFonts w:ascii="Times New Roman" w:hAnsi="Times New Roman" w:cs="Times New Roman" w:hint="eastAsia"/>
          <w:sz w:val="24"/>
        </w:rPr>
        <w:t>Krukenberg</w:t>
      </w:r>
      <w:proofErr w:type="spellEnd"/>
      <w:r>
        <w:rPr>
          <w:rFonts w:ascii="Times New Roman" w:hAnsi="Times New Roman" w:cs="Times New Roman" w:hint="eastAsia"/>
          <w:sz w:val="24"/>
        </w:rPr>
        <w:t xml:space="preserve"> tumors. Commonly employed approaches include systemic chemotherapy, intraperitoneal chemotherapy, and intraperitoneal hyperthermic chemotherapy. </w:t>
      </w:r>
      <w:r w:rsidRPr="008E6BB8">
        <w:rPr>
          <w:rFonts w:ascii="Times New Roman" w:hAnsi="Times New Roman" w:cs="Times New Roman" w:hint="eastAsia"/>
          <w:sz w:val="24"/>
          <w:vertAlign w:val="superscript"/>
        </w:rPr>
        <w:t>1</w:t>
      </w:r>
      <w:r>
        <w:rPr>
          <w:rFonts w:ascii="Times New Roman" w:hAnsi="Times New Roman" w:cs="Times New Roman" w:hint="eastAsia"/>
          <w:sz w:val="24"/>
          <w:vertAlign w:val="superscript"/>
        </w:rPr>
        <w:t>,</w:t>
      </w:r>
      <w:r w:rsidRPr="008E6BB8">
        <w:rPr>
          <w:rFonts w:ascii="Times New Roman" w:hAnsi="Times New Roman" w:cs="Times New Roman" w:hint="eastAsia"/>
          <w:sz w:val="24"/>
          <w:vertAlign w:val="superscript"/>
        </w:rPr>
        <w:t>6</w:t>
      </w:r>
      <w:r>
        <w:rPr>
          <w:rFonts w:ascii="Times New Roman" w:hAnsi="Times New Roman" w:cs="Times New Roman" w:hint="eastAsia"/>
          <w:sz w:val="24"/>
        </w:rPr>
        <w:t xml:space="preserve"> According to the 2021 Chinese Expert Consensus on Diagnosis and Treatment of Ovarian Metastases from Gastric Cancer,</w:t>
      </w:r>
      <w:r w:rsidRPr="008E6BB8">
        <w:rPr>
          <w:rFonts w:ascii="Times New Roman" w:hAnsi="Times New Roman" w:cs="Times New Roman" w:hint="eastAsia"/>
          <w:sz w:val="24"/>
          <w:vertAlign w:val="superscript"/>
        </w:rPr>
        <w:t>11</w:t>
      </w:r>
      <w:r>
        <w:rPr>
          <w:rFonts w:ascii="Times New Roman" w:hAnsi="Times New Roman" w:cs="Times New Roman" w:hint="eastAsia"/>
          <w:sz w:val="24"/>
          <w:vertAlign w:val="superscript"/>
        </w:rPr>
        <w:t xml:space="preserve"> </w:t>
      </w:r>
      <w:r>
        <w:rPr>
          <w:rFonts w:ascii="Times New Roman" w:hAnsi="Times New Roman" w:cs="Times New Roman" w:hint="eastAsia"/>
          <w:sz w:val="24"/>
        </w:rPr>
        <w:t xml:space="preserve">this case falls under C-GCOM stage IIIa, having lost surgical opportunity. Treatment adheres to standards for advanced gastric cancer, primarily employing systemic drug therapy aimed at disease control, symptom relief, and maximizing survival duration. Immunohistochemistry indicated </w:t>
      </w:r>
      <w:r>
        <w:rPr>
          <w:rFonts w:ascii="Times New Roman" w:hAnsi="Times New Roman" w:cs="Times New Roman" w:hint="eastAsia"/>
          <w:sz w:val="24"/>
        </w:rPr>
        <w:lastRenderedPageBreak/>
        <w:t xml:space="preserve">Claudin18.2(-), HER2(2+), FISH negative, </w:t>
      </w:r>
      <w:proofErr w:type="spellStart"/>
      <w:r>
        <w:rPr>
          <w:rFonts w:ascii="Times New Roman" w:hAnsi="Times New Roman" w:cs="Times New Roman" w:hint="eastAsia"/>
          <w:sz w:val="24"/>
        </w:rPr>
        <w:t>pMMR</w:t>
      </w:r>
      <w:proofErr w:type="spellEnd"/>
      <w:r>
        <w:rPr>
          <w:rFonts w:ascii="Times New Roman" w:hAnsi="Times New Roman" w:cs="Times New Roman" w:hint="eastAsia"/>
          <w:sz w:val="24"/>
        </w:rPr>
        <w:t>, and PD-L1</w:t>
      </w:r>
      <w:r>
        <w:rPr>
          <w:rFonts w:ascii="Times New Roman" w:hAnsi="Times New Roman" w:cs="Times New Roman" w:hint="eastAsia"/>
          <w:sz w:val="24"/>
        </w:rPr>
        <w:t>＜</w:t>
      </w:r>
      <w:r>
        <w:rPr>
          <w:rFonts w:ascii="Times New Roman" w:hAnsi="Times New Roman" w:cs="Times New Roman" w:hint="eastAsia"/>
          <w:sz w:val="24"/>
        </w:rPr>
        <w:t xml:space="preserve">1%. In accordance with the 2025 NCCN Guidelines </w:t>
      </w:r>
      <w:bookmarkEnd w:id="0"/>
      <w:r>
        <w:rPr>
          <w:rFonts w:ascii="Times New Roman" w:hAnsi="Times New Roman" w:cs="Times New Roman" w:hint="eastAsia"/>
          <w:sz w:val="24"/>
        </w:rPr>
        <w:t xml:space="preserve">for Gastric Cancer and the Chinese Society of Clinical Oncology (CSCO) Gastric Cancer Diagnosis and Treatment Guidelines (2023), </w:t>
      </w:r>
      <w:r w:rsidRPr="008E6BB8">
        <w:rPr>
          <w:rFonts w:ascii="Times New Roman" w:hAnsi="Times New Roman" w:cs="Times New Roman" w:hint="eastAsia"/>
          <w:sz w:val="24"/>
          <w:vertAlign w:val="superscript"/>
        </w:rPr>
        <w:t>6,12</w:t>
      </w:r>
      <w:r w:rsidRPr="008E6BB8">
        <w:rPr>
          <w:rFonts w:ascii="Times New Roman" w:hAnsi="Times New Roman" w:cs="Times New Roman" w:hint="eastAsia"/>
          <w:sz w:val="24"/>
        </w:rPr>
        <w:t xml:space="preserve"> </w:t>
      </w:r>
      <w:r>
        <w:rPr>
          <w:rFonts w:ascii="Times New Roman" w:hAnsi="Times New Roman" w:cs="Times New Roman" w:hint="eastAsia"/>
          <w:sz w:val="24"/>
        </w:rPr>
        <w:t xml:space="preserve">we conducted an in-depth review of the individualized treatment plan for this case. </w:t>
      </w:r>
      <w:r w:rsidRPr="008E6BB8">
        <w:rPr>
          <w:rFonts w:ascii="Times New Roman" w:hAnsi="Times New Roman" w:cs="Times New Roman" w:hint="eastAsia"/>
          <w:sz w:val="24"/>
        </w:rPr>
        <w:t>For such patients, the Level I recommendation for first-line therapy is FOLFOX/XEL</w:t>
      </w:r>
      <w:r>
        <w:rPr>
          <w:rFonts w:ascii="Times New Roman" w:hAnsi="Times New Roman" w:cs="Times New Roman" w:hint="eastAsia"/>
          <w:sz w:val="24"/>
        </w:rPr>
        <w:t>OX combined with an immune checkpoint inhibitor (e.g., nivolumab), whilst SOX (Erlotinib capsules + oxaliplatin) combined with nivolumab is also a Level III recommendation.</w:t>
      </w:r>
      <w:r w:rsidR="004B50E3">
        <w:rPr>
          <w:rFonts w:ascii="Times New Roman" w:hAnsi="Times New Roman" w:cs="Times New Roman" w:hint="eastAsia"/>
          <w:sz w:val="24"/>
        </w:rPr>
        <w:t xml:space="preserve"> </w:t>
      </w:r>
      <w:r w:rsidR="004B50E3" w:rsidRPr="004B50E3">
        <w:rPr>
          <w:rFonts w:ascii="Times New Roman" w:hAnsi="Times New Roman" w:cs="Times New Roman"/>
          <w:sz w:val="24"/>
        </w:rPr>
        <w:t>As an anti</w:t>
      </w:r>
      <w:r w:rsidR="004B50E3" w:rsidRPr="004B50E3">
        <w:rPr>
          <w:rFonts w:ascii="Times New Roman" w:hAnsi="Times New Roman" w:cs="Times New Roman"/>
          <w:sz w:val="24"/>
        </w:rPr>
        <w:noBreakHyphen/>
        <w:t xml:space="preserve">angiogenic agent, </w:t>
      </w:r>
      <w:proofErr w:type="spellStart"/>
      <w:r w:rsidR="004B50E3" w:rsidRPr="004B50E3">
        <w:rPr>
          <w:rFonts w:ascii="Times New Roman" w:hAnsi="Times New Roman" w:cs="Times New Roman"/>
          <w:sz w:val="24"/>
        </w:rPr>
        <w:t>anlotinib</w:t>
      </w:r>
      <w:proofErr w:type="spellEnd"/>
      <w:r w:rsidR="004B50E3" w:rsidRPr="004B50E3">
        <w:rPr>
          <w:rFonts w:ascii="Times New Roman" w:hAnsi="Times New Roman" w:cs="Times New Roman"/>
          <w:sz w:val="24"/>
        </w:rPr>
        <w:t xml:space="preserve"> not only suppresses tumor growth and metastasis but also reshapes the tumor microenvironment. Emerging clinical consensus supports the efficacy of </w:t>
      </w:r>
      <w:proofErr w:type="spellStart"/>
      <w:r w:rsidR="004B50E3" w:rsidRPr="004B50E3">
        <w:rPr>
          <w:rFonts w:ascii="Times New Roman" w:hAnsi="Times New Roman" w:cs="Times New Roman"/>
          <w:sz w:val="24"/>
        </w:rPr>
        <w:t>anlotinib</w:t>
      </w:r>
      <w:proofErr w:type="spellEnd"/>
      <w:r w:rsidR="004B50E3" w:rsidRPr="004B50E3">
        <w:rPr>
          <w:rFonts w:ascii="Times New Roman" w:hAnsi="Times New Roman" w:cs="Times New Roman"/>
          <w:sz w:val="24"/>
        </w:rPr>
        <w:t xml:space="preserve"> maintenance after </w:t>
      </w:r>
      <w:proofErr w:type="spellStart"/>
      <w:r w:rsidR="004B50E3" w:rsidRPr="004B50E3">
        <w:rPr>
          <w:rFonts w:ascii="Times New Roman" w:hAnsi="Times New Roman" w:cs="Times New Roman"/>
          <w:sz w:val="24"/>
        </w:rPr>
        <w:t>anlotinib</w:t>
      </w:r>
      <w:proofErr w:type="spellEnd"/>
      <w:r w:rsidR="004B50E3" w:rsidRPr="004B50E3">
        <w:rPr>
          <w:rFonts w:ascii="Times New Roman" w:hAnsi="Times New Roman" w:cs="Times New Roman"/>
          <w:sz w:val="24"/>
        </w:rPr>
        <w:noBreakHyphen/>
        <w:t>based combination chemotherapy in patients with newly diagnosed advanced ovarian cancer.</w:t>
      </w:r>
      <w:r w:rsidR="004B50E3" w:rsidRPr="004B50E3">
        <w:rPr>
          <w:rFonts w:ascii="Times New Roman" w:hAnsi="Times New Roman" w:cs="Times New Roman" w:hint="eastAsia"/>
          <w:sz w:val="24"/>
          <w:vertAlign w:val="superscript"/>
        </w:rPr>
        <w:t>13</w:t>
      </w:r>
      <w:r>
        <w:rPr>
          <w:rFonts w:ascii="Times New Roman" w:hAnsi="Times New Roman" w:cs="Times New Roman" w:hint="eastAsia"/>
          <w:sz w:val="24"/>
        </w:rPr>
        <w:t xml:space="preserve"> The actual regimen employed in this case</w:t>
      </w:r>
      <w:r w:rsidRPr="00904E39">
        <w:rPr>
          <w:rFonts w:ascii="Times New Roman" w:hAnsi="Times New Roman" w:cs="Times New Roman"/>
          <w:sz w:val="24"/>
        </w:rPr>
        <w:t>—</w:t>
      </w:r>
      <w:r>
        <w:rPr>
          <w:rFonts w:ascii="Times New Roman" w:hAnsi="Times New Roman" w:cs="Times New Roman" w:hint="eastAsia"/>
          <w:sz w:val="24"/>
        </w:rPr>
        <w:t xml:space="preserve">"S-1 plus oxaliplatin (i.e., SOX regimen) plus </w:t>
      </w:r>
      <w:proofErr w:type="spellStart"/>
      <w:r>
        <w:rPr>
          <w:rFonts w:ascii="Times New Roman" w:hAnsi="Times New Roman" w:cs="Times New Roman" w:hint="eastAsia"/>
          <w:sz w:val="24"/>
        </w:rPr>
        <w:t>cadonilimab</w:t>
      </w:r>
      <w:proofErr w:type="spellEnd"/>
      <w:r>
        <w:rPr>
          <w:rFonts w:ascii="Times New Roman" w:hAnsi="Times New Roman" w:cs="Times New Roman" w:hint="eastAsia"/>
          <w:sz w:val="24"/>
        </w:rPr>
        <w:t xml:space="preserve"> (PD-1/CTLA-4 bispecific antibody) plus </w:t>
      </w:r>
      <w:proofErr w:type="spellStart"/>
      <w:r>
        <w:rPr>
          <w:rFonts w:ascii="Times New Roman" w:hAnsi="Times New Roman" w:cs="Times New Roman" w:hint="eastAsia"/>
          <w:sz w:val="24"/>
        </w:rPr>
        <w:t>anlotinib</w:t>
      </w:r>
      <w:proofErr w:type="spellEnd"/>
      <w:r>
        <w:rPr>
          <w:rFonts w:ascii="Times New Roman" w:hAnsi="Times New Roman" w:cs="Times New Roman" w:hint="eastAsia"/>
          <w:sz w:val="24"/>
        </w:rPr>
        <w:t>"</w:t>
      </w:r>
      <w:r w:rsidRPr="00904E39">
        <w:rPr>
          <w:rFonts w:ascii="Times New Roman" w:hAnsi="Times New Roman" w:cs="Times New Roman"/>
          <w:sz w:val="24"/>
        </w:rPr>
        <w:t>—</w:t>
      </w:r>
      <w:r>
        <w:rPr>
          <w:rFonts w:ascii="Times New Roman" w:hAnsi="Times New Roman" w:cs="Times New Roman" w:hint="eastAsia"/>
          <w:sz w:val="24"/>
        </w:rPr>
        <w:t xml:space="preserve">aligns with the core principles of the guidelines. It centers on a comprehensive approach combining immunotherapy, targeted therapy, and chemotherapy, supplemented by hyperthermia, intrathoracic drug instillation, and supportive care, yielding preliminary efficacy. This successful case provides key insights for guideline application: low PD-L1 expression is not an absolute contraindication to immunotherapy. Despite the patient's PD-L1 expression being &lt;1%, significant efficacy was achieved following combination chemotherapy, consistent with observations from studies such as </w:t>
      </w:r>
      <w:proofErr w:type="spellStart"/>
      <w:r>
        <w:rPr>
          <w:rFonts w:ascii="Times New Roman" w:hAnsi="Times New Roman" w:cs="Times New Roman" w:hint="eastAsia"/>
          <w:sz w:val="24"/>
        </w:rPr>
        <w:t>CheckMate</w:t>
      </w:r>
      <w:proofErr w:type="spellEnd"/>
      <w:r>
        <w:rPr>
          <w:rFonts w:ascii="Times New Roman" w:hAnsi="Times New Roman" w:cs="Times New Roman" w:hint="eastAsia"/>
          <w:sz w:val="24"/>
        </w:rPr>
        <w:t xml:space="preserve"> 649,</w:t>
      </w:r>
      <w:r>
        <w:rPr>
          <w:rFonts w:ascii="Times New Roman" w:hAnsi="Times New Roman" w:cs="Times New Roman" w:hint="eastAsia"/>
          <w:sz w:val="24"/>
          <w:vertAlign w:val="superscript"/>
        </w:rPr>
        <w:t>1</w:t>
      </w:r>
      <w:r w:rsidR="004B50E3">
        <w:rPr>
          <w:rFonts w:ascii="Times New Roman" w:hAnsi="Times New Roman" w:cs="Times New Roman" w:hint="eastAsia"/>
          <w:sz w:val="24"/>
          <w:vertAlign w:val="superscript"/>
        </w:rPr>
        <w:t>4</w:t>
      </w:r>
      <w:r>
        <w:rPr>
          <w:rFonts w:ascii="Times New Roman" w:hAnsi="Times New Roman" w:cs="Times New Roman" w:hint="eastAsia"/>
          <w:sz w:val="24"/>
        </w:rPr>
        <w:t xml:space="preserve"> suggesting potential benefit even for low PD-L1 expression in combination settings. This supports the clinical rationale for guideline </w:t>
      </w:r>
      <w:r>
        <w:rPr>
          <w:rFonts w:ascii="Times New Roman" w:hAnsi="Times New Roman" w:cs="Times New Roman" w:hint="eastAsia"/>
          <w:sz w:val="24"/>
        </w:rPr>
        <w:lastRenderedPageBreak/>
        <w:t>recommendations classifying immunochemotherapy as a Grade II recommendation for CPS &lt;5% patients, offering valuable clinical practice guidance for advanced gastric cancer with ovarian metastases.</w:t>
      </w:r>
      <w:r w:rsidR="00950D07" w:rsidRPr="009E1A93">
        <w:rPr>
          <w:rFonts w:ascii="Times New Roman" w:eastAsia="SimSun" w:hAnsi="Times New Roman" w:cs="Times New Roman"/>
          <w:sz w:val="24"/>
          <w:szCs w:val="24"/>
        </w:rPr>
        <w:t>​</w:t>
      </w:r>
    </w:p>
    <w:p w14:paraId="550F1855" w14:textId="4E31A735" w:rsidR="0035370F" w:rsidRDefault="00533CB1" w:rsidP="0035370F">
      <w:pPr>
        <w:spacing w:line="480" w:lineRule="auto"/>
        <w:ind w:firstLineChars="200" w:firstLine="480"/>
        <w:rPr>
          <w:rFonts w:ascii="Times New Roman" w:hAnsi="Times New Roman" w:cs="Times New Roman"/>
          <w:sz w:val="24"/>
        </w:rPr>
      </w:pPr>
      <w:proofErr w:type="spellStart"/>
      <w:r>
        <w:rPr>
          <w:rFonts w:ascii="Times New Roman" w:hAnsi="Times New Roman" w:cs="Times New Roman" w:hint="eastAsia"/>
          <w:sz w:val="24"/>
        </w:rPr>
        <w:t>Krukenberg</w:t>
      </w:r>
      <w:proofErr w:type="spellEnd"/>
      <w:r>
        <w:rPr>
          <w:rFonts w:ascii="Times New Roman" w:hAnsi="Times New Roman" w:cs="Times New Roman" w:hint="eastAsia"/>
          <w:sz w:val="24"/>
        </w:rPr>
        <w:t xml:space="preserve"> tumors predominantly occur in women over 40 years of age and are relatively uncommon in younger patients.</w:t>
      </w:r>
      <w:r w:rsidRPr="008E6BB8">
        <w:rPr>
          <w:rFonts w:ascii="Times New Roman" w:hAnsi="Times New Roman" w:cs="Times New Roman" w:hint="eastAsia"/>
          <w:sz w:val="24"/>
          <w:vertAlign w:val="superscript"/>
        </w:rPr>
        <w:t>1</w:t>
      </w:r>
      <w:r w:rsidR="004B50E3">
        <w:rPr>
          <w:rFonts w:ascii="Times New Roman" w:hAnsi="Times New Roman" w:cs="Times New Roman" w:hint="eastAsia"/>
          <w:sz w:val="24"/>
          <w:vertAlign w:val="superscript"/>
        </w:rPr>
        <w:t>5</w:t>
      </w:r>
      <w:r>
        <w:rPr>
          <w:rFonts w:ascii="Times New Roman" w:hAnsi="Times New Roman" w:cs="Times New Roman" w:hint="eastAsia"/>
          <w:sz w:val="24"/>
        </w:rPr>
        <w:t xml:space="preserve"> Nonetheless, in young women presenting with bilateral solid ovarian masses, </w:t>
      </w:r>
      <w:proofErr w:type="spellStart"/>
      <w:r>
        <w:rPr>
          <w:rFonts w:ascii="Times New Roman" w:hAnsi="Times New Roman" w:cs="Times New Roman" w:hint="eastAsia"/>
          <w:sz w:val="24"/>
        </w:rPr>
        <w:t>Krukenberg</w:t>
      </w:r>
      <w:proofErr w:type="spellEnd"/>
      <w:r>
        <w:rPr>
          <w:rFonts w:ascii="Times New Roman" w:hAnsi="Times New Roman" w:cs="Times New Roman" w:hint="eastAsia"/>
          <w:sz w:val="24"/>
        </w:rPr>
        <w:t xml:space="preserve"> tumor should be included in the differential diagnosis, and timely gastrointestinal evaluation</w:t>
      </w:r>
      <w:r>
        <w:rPr>
          <w:rFonts w:ascii="Times New Roman" w:hAnsi="Times New Roman" w:cs="Times New Roman" w:hint="eastAsia"/>
          <w:sz w:val="24"/>
        </w:rPr>
        <w:t>—</w:t>
      </w:r>
      <w:r>
        <w:rPr>
          <w:rFonts w:ascii="Times New Roman" w:hAnsi="Times New Roman" w:cs="Times New Roman" w:hint="eastAsia"/>
          <w:sz w:val="24"/>
        </w:rPr>
        <w:t>particularly endoscopy</w:t>
      </w:r>
      <w:r>
        <w:rPr>
          <w:rFonts w:ascii="Times New Roman" w:hAnsi="Times New Roman" w:cs="Times New Roman" w:hint="eastAsia"/>
          <w:sz w:val="24"/>
        </w:rPr>
        <w:t>—</w:t>
      </w:r>
      <w:r>
        <w:rPr>
          <w:rFonts w:ascii="Times New Roman" w:hAnsi="Times New Roman" w:cs="Times New Roman" w:hint="eastAsia"/>
          <w:sz w:val="24"/>
        </w:rPr>
        <w:t>is essential.</w:t>
      </w:r>
      <w:r w:rsidR="004B50E3">
        <w:rPr>
          <w:rFonts w:ascii="Times New Roman" w:hAnsi="Times New Roman" w:cs="Times New Roman" w:hint="eastAsia"/>
          <w:sz w:val="24"/>
          <w:vertAlign w:val="superscript"/>
        </w:rPr>
        <w:t>16</w:t>
      </w:r>
      <w:r>
        <w:rPr>
          <w:rFonts w:ascii="Times New Roman" w:hAnsi="Times New Roman" w:cs="Times New Roman" w:hint="eastAsia"/>
          <w:sz w:val="24"/>
        </w:rPr>
        <w:t xml:space="preserve"> Early investigation of the digestive tract helps avoid diagnostic delays in cases where clinical manifestations are atypical or misleading.</w:t>
      </w:r>
    </w:p>
    <w:p w14:paraId="27DE8C53" w14:textId="03B1BF93" w:rsidR="00533CB1" w:rsidRDefault="00533CB1" w:rsidP="0035370F">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 xml:space="preserve">The diagnostic course in the present case involved several pivotal transitions, underscoring the essential role of multidisciplinary team (MDT) collaboration in managing complex presentations. Initial coordination between the Respiratory Medicine and Gynecology departments facilitated the exclusion of a primary ovarian malignancy, while pathology and imaging provided critical clues suggestive of a gastrointestinal origin. Oncology subsequently integrated these findings to establish a systemic treatment strategy. Remarkably, the interval from first presentation to definitive diagnosis and initiation of therapy was only seven days. This case exemplifies how proactive, early MDT engagement can shorten diagnostic timelines, mitigate the limitations inherent to single-specialty evaluation, and enhance clinical decision-making in challenging malignant conditions. Rather than functioning solely as a post-diagnostic discussion forum, MDT should serve as a dynamic, integrated platform throughout the diagnostic </w:t>
      </w:r>
      <w:r>
        <w:rPr>
          <w:rFonts w:ascii="Times New Roman" w:hAnsi="Times New Roman" w:cs="Times New Roman" w:hint="eastAsia"/>
          <w:sz w:val="24"/>
        </w:rPr>
        <w:lastRenderedPageBreak/>
        <w:t>and therapeutic process</w:t>
      </w:r>
      <w:r>
        <w:rPr>
          <w:rFonts w:ascii="Times New Roman" w:hAnsi="Times New Roman" w:cs="Times New Roman" w:hint="eastAsia"/>
          <w:sz w:val="24"/>
        </w:rPr>
        <w:t>—</w:t>
      </w:r>
      <w:r>
        <w:rPr>
          <w:rFonts w:ascii="Times New Roman" w:hAnsi="Times New Roman" w:cs="Times New Roman" w:hint="eastAsia"/>
          <w:sz w:val="24"/>
        </w:rPr>
        <w:t>particularly for patients with non-specific symptoms or highly complex disease. Early involvement of relevant specialists enables joint interpretation of preliminary findings, more strategic planning of diagnostic investigations, and improved integration of clinical, radiologic, pathologic, and molecular information.</w:t>
      </w:r>
    </w:p>
    <w:p w14:paraId="662F5AEF" w14:textId="1FBA05D9" w:rsidR="00BD03F4" w:rsidRPr="009E1A93" w:rsidRDefault="00533CB1" w:rsidP="0035370F">
      <w:pPr>
        <w:spacing w:line="480" w:lineRule="auto"/>
        <w:ind w:firstLineChars="200" w:firstLine="480"/>
        <w:rPr>
          <w:rFonts w:ascii="Times New Roman" w:eastAsia="SimSun" w:hAnsi="Times New Roman" w:cs="Times New Roman"/>
          <w:sz w:val="24"/>
          <w:szCs w:val="24"/>
        </w:rPr>
      </w:pPr>
      <w:r>
        <w:rPr>
          <w:rFonts w:ascii="Times New Roman" w:hAnsi="Times New Roman" w:cs="Times New Roman" w:hint="eastAsia"/>
          <w:sz w:val="24"/>
        </w:rPr>
        <w:t>Furthermore, this case also highlights the need for standardized evaluation pathways for young patients presenting with unexplained pleural effusion. Future practice should incorporate genetic screening, dynamic monitoring of tumor markers, and combined pathological</w:t>
      </w:r>
      <w:r>
        <w:rPr>
          <w:rFonts w:ascii="Times New Roman" w:hAnsi="Times New Roman" w:cs="Times New Roman" w:hint="eastAsia"/>
          <w:sz w:val="24"/>
        </w:rPr>
        <w:t>–</w:t>
      </w:r>
      <w:r>
        <w:rPr>
          <w:rFonts w:ascii="Times New Roman" w:hAnsi="Times New Roman" w:cs="Times New Roman" w:hint="eastAsia"/>
          <w:sz w:val="24"/>
        </w:rPr>
        <w:t>imaging</w:t>
      </w:r>
      <w:r>
        <w:rPr>
          <w:rFonts w:ascii="Times New Roman" w:hAnsi="Times New Roman" w:cs="Times New Roman" w:hint="eastAsia"/>
          <w:sz w:val="24"/>
        </w:rPr>
        <w:t>–</w:t>
      </w:r>
      <w:r>
        <w:rPr>
          <w:rFonts w:ascii="Times New Roman" w:hAnsi="Times New Roman" w:cs="Times New Roman" w:hint="eastAsia"/>
          <w:sz w:val="24"/>
        </w:rPr>
        <w:t>clinical assessment. Continued refinement of genetic testing and familial risk evaluation, alongside sustained multidisciplinary collaboration, will be essential to advancing diagnostic accuracy and long-term management.</w:t>
      </w:r>
      <w:r w:rsidR="00E1082E" w:rsidRPr="009E1A93">
        <w:rPr>
          <w:rFonts w:ascii="Times New Roman" w:eastAsia="SimSun" w:hAnsi="Times New Roman" w:cs="Times New Roman"/>
          <w:sz w:val="24"/>
          <w:szCs w:val="24"/>
        </w:rPr>
        <w:t xml:space="preserve"> </w:t>
      </w:r>
    </w:p>
    <w:p w14:paraId="1CE57C1D" w14:textId="77777777" w:rsidR="00CC69F2" w:rsidRDefault="00CC69F2" w:rsidP="00F95CE3">
      <w:pPr>
        <w:rPr>
          <w:rFonts w:ascii="Times New Roman" w:eastAsia="SimSun" w:hAnsi="Times New Roman" w:cs="Times New Roman"/>
          <w:sz w:val="24"/>
          <w:szCs w:val="24"/>
        </w:rPr>
      </w:pPr>
    </w:p>
    <w:p w14:paraId="0A8C0F85" w14:textId="77777777" w:rsidR="00CC69F2" w:rsidRPr="00CC69F2" w:rsidRDefault="00CC69F2" w:rsidP="00CC69F2">
      <w:pPr>
        <w:rPr>
          <w:rFonts w:ascii="Times New Roman" w:eastAsia="SimSun" w:hAnsi="Times New Roman" w:cs="Times New Roman"/>
          <w:b/>
          <w:bCs/>
          <w:sz w:val="24"/>
          <w:szCs w:val="24"/>
        </w:rPr>
      </w:pPr>
      <w:r w:rsidRPr="00CC69F2">
        <w:rPr>
          <w:rFonts w:ascii="Times New Roman" w:eastAsia="SimSun" w:hAnsi="Times New Roman" w:cs="Times New Roman"/>
          <w:b/>
          <w:bCs/>
          <w:sz w:val="24"/>
          <w:szCs w:val="24"/>
        </w:rPr>
        <w:t>Acknowledgments</w:t>
      </w:r>
    </w:p>
    <w:p w14:paraId="41C37779" w14:textId="32F2BE7C" w:rsidR="00F95CE3" w:rsidRDefault="00C11ADD" w:rsidP="00672FC6">
      <w:pPr>
        <w:spacing w:line="480" w:lineRule="auto"/>
        <w:ind w:firstLineChars="200" w:firstLine="480"/>
        <w:rPr>
          <w:rFonts w:ascii="Times New Roman" w:eastAsia="SimSun" w:hAnsi="Times New Roman" w:cs="Times New Roman"/>
          <w:sz w:val="24"/>
          <w:szCs w:val="24"/>
        </w:rPr>
      </w:pPr>
      <w:r>
        <w:rPr>
          <w:rFonts w:ascii="Times New Roman" w:eastAsia="SimSun" w:hAnsi="Times New Roman" w:cs="Times New Roman" w:hint="eastAsia"/>
          <w:sz w:val="24"/>
          <w:szCs w:val="24"/>
        </w:rPr>
        <w:t>Jiayi Chen</w:t>
      </w:r>
      <w:r w:rsidR="003934D2" w:rsidRPr="003934D2">
        <w:rPr>
          <w:rFonts w:ascii="Times New Roman" w:eastAsia="SimSun" w:hAnsi="Times New Roman" w:cs="Times New Roman" w:hint="eastAsia"/>
          <w:sz w:val="24"/>
          <w:szCs w:val="24"/>
        </w:rPr>
        <w:t>, Dong Zhang contributed equally to this work.</w:t>
      </w:r>
      <w:r w:rsidR="003934D2">
        <w:rPr>
          <w:rFonts w:ascii="Times New Roman" w:eastAsia="SimSun" w:hAnsi="Times New Roman" w:cs="Times New Roman" w:hint="eastAsia"/>
          <w:sz w:val="24"/>
          <w:szCs w:val="24"/>
        </w:rPr>
        <w:t xml:space="preserve"> </w:t>
      </w:r>
      <w:r w:rsidR="00CC69F2">
        <w:rPr>
          <w:rFonts w:ascii="Times New Roman" w:eastAsia="SimSun" w:hAnsi="Times New Roman" w:cs="Times New Roman" w:hint="eastAsia"/>
          <w:sz w:val="24"/>
          <w:szCs w:val="24"/>
        </w:rPr>
        <w:t xml:space="preserve">We are grateful to all the members for their generous participation. </w:t>
      </w:r>
      <w:r w:rsidR="00F95CE3" w:rsidRPr="00F95CE3">
        <w:rPr>
          <w:rFonts w:ascii="Times New Roman" w:eastAsia="SimSun" w:hAnsi="Times New Roman" w:cs="Times New Roman" w:hint="eastAsia"/>
          <w:sz w:val="24"/>
          <w:szCs w:val="24"/>
        </w:rPr>
        <w:t>This</w:t>
      </w:r>
      <w:r w:rsidR="00F95CE3">
        <w:rPr>
          <w:rFonts w:ascii="Times New Roman" w:eastAsia="SimSun" w:hAnsi="Times New Roman" w:cs="Times New Roman" w:hint="eastAsia"/>
          <w:sz w:val="24"/>
          <w:szCs w:val="24"/>
        </w:rPr>
        <w:t xml:space="preserve"> work was supported by the </w:t>
      </w:r>
      <w:r w:rsidR="00F95CE3" w:rsidRPr="00F95CE3">
        <w:rPr>
          <w:rFonts w:ascii="Times New Roman" w:eastAsia="SimSun" w:hAnsi="Times New Roman" w:cs="Times New Roman" w:hint="eastAsia"/>
          <w:sz w:val="24"/>
          <w:szCs w:val="24"/>
        </w:rPr>
        <w:t>Science and Technology Projects in Guangzhou (202201020044 and 202201011019)</w:t>
      </w:r>
      <w:r w:rsidR="00D92C9E">
        <w:rPr>
          <w:rFonts w:ascii="Times New Roman" w:eastAsia="SimSun" w:hAnsi="Times New Roman" w:cs="Times New Roman" w:hint="eastAsia"/>
          <w:sz w:val="24"/>
          <w:szCs w:val="24"/>
        </w:rPr>
        <w:t>.</w:t>
      </w:r>
    </w:p>
    <w:p w14:paraId="2BA9E132" w14:textId="77777777" w:rsidR="00CC69F2" w:rsidRPr="00CC69F2" w:rsidRDefault="00CC69F2" w:rsidP="00F95CE3">
      <w:pPr>
        <w:ind w:firstLineChars="200" w:firstLine="480"/>
        <w:rPr>
          <w:rFonts w:ascii="Times New Roman" w:eastAsia="SimSun" w:hAnsi="Times New Roman" w:cs="Times New Roman"/>
          <w:sz w:val="24"/>
          <w:szCs w:val="24"/>
        </w:rPr>
      </w:pPr>
    </w:p>
    <w:p w14:paraId="72F553DB" w14:textId="603945C8" w:rsidR="00141FB0" w:rsidRPr="009E1A93" w:rsidRDefault="00141FB0" w:rsidP="00141FB0">
      <w:pPr>
        <w:rPr>
          <w:rFonts w:ascii="Times New Roman" w:eastAsia="SimSun" w:hAnsi="Times New Roman" w:cs="Times New Roman"/>
          <w:b/>
          <w:bCs/>
          <w:sz w:val="24"/>
          <w:szCs w:val="24"/>
        </w:rPr>
      </w:pPr>
      <w:r w:rsidRPr="009E1A93">
        <w:rPr>
          <w:rFonts w:ascii="Times New Roman" w:eastAsia="SimSun" w:hAnsi="Times New Roman" w:cs="Times New Roman" w:hint="eastAsia"/>
          <w:b/>
          <w:bCs/>
          <w:sz w:val="24"/>
          <w:szCs w:val="24"/>
        </w:rPr>
        <w:t>Disclosure</w:t>
      </w:r>
    </w:p>
    <w:p w14:paraId="5A97DD11" w14:textId="0F08B84F" w:rsidR="00D64025" w:rsidRDefault="00B3733A" w:rsidP="00D64025">
      <w:pPr>
        <w:spacing w:line="480" w:lineRule="auto"/>
        <w:ind w:firstLineChars="200" w:firstLine="480"/>
        <w:rPr>
          <w:rFonts w:ascii="Times New Roman" w:eastAsia="SimSun" w:hAnsi="Times New Roman" w:cs="Times New Roman"/>
          <w:sz w:val="24"/>
          <w:szCs w:val="24"/>
        </w:rPr>
      </w:pPr>
      <w:r w:rsidRPr="00A91940">
        <w:rPr>
          <w:rFonts w:ascii="Times New Roman" w:eastAsia="SimSun" w:hAnsi="Times New Roman" w:cs="Times New Roman" w:hint="eastAsia"/>
          <w:sz w:val="24"/>
          <w:szCs w:val="24"/>
        </w:rPr>
        <w:t>None</w:t>
      </w:r>
    </w:p>
    <w:p w14:paraId="3D5E976C" w14:textId="73C14E24" w:rsidR="00D64025" w:rsidRPr="00A91940" w:rsidRDefault="00D64025" w:rsidP="00D64025">
      <w:pPr>
        <w:rPr>
          <w:rFonts w:ascii="Times New Roman" w:eastAsia="SimSun" w:hAnsi="Times New Roman" w:cs="Times New Roman"/>
          <w:sz w:val="24"/>
          <w:szCs w:val="24"/>
        </w:rPr>
      </w:pPr>
    </w:p>
    <w:p w14:paraId="6D2564E3" w14:textId="77777777" w:rsidR="00D64025" w:rsidRDefault="00D64025" w:rsidP="00D64025">
      <w:pPr>
        <w:spacing w:line="360" w:lineRule="auto"/>
        <w:rPr>
          <w:rFonts w:ascii="Times New Roman" w:hAnsi="Times New Roman" w:cs="Times New Roman"/>
          <w:sz w:val="24"/>
        </w:rPr>
      </w:pPr>
      <w:r>
        <w:rPr>
          <w:rFonts w:ascii="Times New Roman" w:hAnsi="Times New Roman" w:cs="Times New Roman" w:hint="eastAsia"/>
          <w:b/>
          <w:bCs/>
          <w:sz w:val="24"/>
        </w:rPr>
        <w:t>Ethics Statement</w:t>
      </w:r>
    </w:p>
    <w:p w14:paraId="4E9C3F0B" w14:textId="77777777" w:rsidR="00D64025" w:rsidRDefault="00D64025" w:rsidP="00D64025">
      <w:pPr>
        <w:spacing w:line="360" w:lineRule="auto"/>
        <w:rPr>
          <w:rFonts w:ascii="Times New Roman" w:hAnsi="Times New Roman" w:cs="Times New Roman"/>
          <w:sz w:val="24"/>
        </w:rPr>
      </w:pPr>
      <w:r>
        <w:rPr>
          <w:rFonts w:ascii="Times New Roman" w:hAnsi="Times New Roman" w:cs="Times New Roman" w:hint="eastAsia"/>
          <w:sz w:val="24"/>
        </w:rPr>
        <w:t>The authors have nothing to report.</w:t>
      </w:r>
    </w:p>
    <w:p w14:paraId="7E5CF3A7" w14:textId="77777777" w:rsidR="00D64025" w:rsidRDefault="00D64025" w:rsidP="00D64025">
      <w:pPr>
        <w:rPr>
          <w:rFonts w:ascii="Times New Roman" w:hAnsi="Times New Roman" w:cs="Times New Roman"/>
          <w:sz w:val="24"/>
        </w:rPr>
      </w:pPr>
    </w:p>
    <w:p w14:paraId="5B2B5619" w14:textId="77777777" w:rsidR="00D64025" w:rsidRDefault="00D64025" w:rsidP="00D64025">
      <w:pPr>
        <w:spacing w:line="360" w:lineRule="auto"/>
        <w:rPr>
          <w:rFonts w:ascii="Times New Roman" w:hAnsi="Times New Roman" w:cs="Times New Roman"/>
          <w:b/>
          <w:bCs/>
          <w:sz w:val="24"/>
        </w:rPr>
      </w:pPr>
      <w:r>
        <w:rPr>
          <w:rFonts w:ascii="Times New Roman" w:hAnsi="Times New Roman" w:cs="Times New Roman" w:hint="eastAsia"/>
          <w:b/>
          <w:bCs/>
          <w:sz w:val="24"/>
        </w:rPr>
        <w:t>Consent</w:t>
      </w:r>
    </w:p>
    <w:p w14:paraId="2892D367" w14:textId="77777777" w:rsidR="00D64025" w:rsidRDefault="00D64025" w:rsidP="00D64025">
      <w:pPr>
        <w:spacing w:line="360" w:lineRule="auto"/>
        <w:rPr>
          <w:rFonts w:ascii="Times New Roman" w:hAnsi="Times New Roman" w:cs="Times New Roman"/>
          <w:sz w:val="24"/>
        </w:rPr>
      </w:pPr>
      <w:r>
        <w:rPr>
          <w:rFonts w:ascii="Times New Roman" w:hAnsi="Times New Roman" w:cs="Times New Roman" w:hint="eastAsia"/>
          <w:sz w:val="24"/>
        </w:rPr>
        <w:t>The authors have nothing to report.</w:t>
      </w:r>
    </w:p>
    <w:p w14:paraId="1EF33576" w14:textId="77777777" w:rsidR="00D64025" w:rsidRDefault="00D64025" w:rsidP="00D64025">
      <w:pPr>
        <w:rPr>
          <w:rFonts w:ascii="Times New Roman" w:hAnsi="Times New Roman" w:cs="Times New Roman"/>
          <w:sz w:val="24"/>
        </w:rPr>
      </w:pPr>
    </w:p>
    <w:p w14:paraId="23C4D37D" w14:textId="77777777" w:rsidR="00D64025" w:rsidRDefault="00D64025" w:rsidP="00D64025">
      <w:pPr>
        <w:spacing w:line="360" w:lineRule="auto"/>
        <w:rPr>
          <w:rFonts w:ascii="Times New Roman" w:hAnsi="Times New Roman" w:cs="Times New Roman"/>
          <w:b/>
          <w:bCs/>
          <w:sz w:val="24"/>
        </w:rPr>
      </w:pPr>
      <w:r>
        <w:rPr>
          <w:rFonts w:ascii="Times New Roman" w:hAnsi="Times New Roman" w:cs="Times New Roman" w:hint="eastAsia"/>
          <w:b/>
          <w:bCs/>
          <w:sz w:val="24"/>
        </w:rPr>
        <w:t>Conflicts of Interest</w:t>
      </w:r>
    </w:p>
    <w:p w14:paraId="50F2174F" w14:textId="77777777" w:rsidR="00D64025" w:rsidRDefault="00D64025" w:rsidP="00D64025">
      <w:pPr>
        <w:spacing w:line="360" w:lineRule="auto"/>
        <w:rPr>
          <w:rFonts w:ascii="Times New Roman" w:hAnsi="Times New Roman" w:cs="Times New Roman"/>
          <w:sz w:val="24"/>
        </w:rPr>
      </w:pPr>
      <w:r>
        <w:rPr>
          <w:rFonts w:ascii="Times New Roman" w:hAnsi="Times New Roman" w:cs="Times New Roman" w:hint="eastAsia"/>
          <w:sz w:val="24"/>
        </w:rPr>
        <w:lastRenderedPageBreak/>
        <w:t>The authors declare no conflicts of interest.</w:t>
      </w:r>
    </w:p>
    <w:p w14:paraId="13F4D4A2" w14:textId="77777777" w:rsidR="00D64025" w:rsidRPr="00D64025" w:rsidRDefault="00D64025" w:rsidP="00141FB0">
      <w:pPr>
        <w:rPr>
          <w:rFonts w:ascii="Times New Roman" w:eastAsia="SimSun" w:hAnsi="Times New Roman" w:cs="Times New Roman"/>
          <w:szCs w:val="21"/>
        </w:rPr>
      </w:pPr>
    </w:p>
    <w:p w14:paraId="36E0A97C" w14:textId="77777777" w:rsidR="00A91940" w:rsidRPr="00A91940" w:rsidRDefault="00A91940" w:rsidP="00A91940">
      <w:pPr>
        <w:rPr>
          <w:rFonts w:ascii="Times New Roman" w:eastAsia="SimSun" w:hAnsi="Times New Roman" w:cs="Times New Roman"/>
          <w:b/>
          <w:bCs/>
          <w:sz w:val="24"/>
          <w:szCs w:val="24"/>
        </w:rPr>
      </w:pPr>
      <w:r w:rsidRPr="00A91940">
        <w:rPr>
          <w:rFonts w:ascii="Times New Roman" w:eastAsia="SimSun" w:hAnsi="Times New Roman" w:cs="Times New Roman" w:hint="eastAsia"/>
          <w:b/>
          <w:bCs/>
          <w:sz w:val="24"/>
          <w:szCs w:val="24"/>
        </w:rPr>
        <w:t>Data Availability Statement</w:t>
      </w:r>
    </w:p>
    <w:p w14:paraId="3B44E414" w14:textId="69EA799B" w:rsidR="00A91940" w:rsidRDefault="00A91940" w:rsidP="00672FC6">
      <w:pPr>
        <w:spacing w:line="480" w:lineRule="auto"/>
        <w:ind w:firstLineChars="200" w:firstLine="480"/>
        <w:rPr>
          <w:rFonts w:ascii="Times New Roman" w:eastAsia="SimSun" w:hAnsi="Times New Roman" w:cs="Times New Roman"/>
          <w:sz w:val="24"/>
          <w:szCs w:val="24"/>
        </w:rPr>
      </w:pPr>
      <w:r w:rsidRPr="00A91940">
        <w:rPr>
          <w:rFonts w:ascii="Times New Roman" w:eastAsia="SimSun" w:hAnsi="Times New Roman" w:cs="Times New Roman" w:hint="eastAsia"/>
          <w:sz w:val="24"/>
          <w:szCs w:val="24"/>
        </w:rPr>
        <w:t>Due to the nature of this case report involving patient confidentiality, the datasets generated and analyzed are not publicly available. The clinical data and images (including radiological and histopathological findings) supporting this study are stored in the hospital</w:t>
      </w:r>
      <w:r>
        <w:rPr>
          <w:rFonts w:ascii="Times New Roman" w:eastAsia="SimSun" w:hAnsi="Times New Roman" w:cs="Times New Roman"/>
          <w:sz w:val="24"/>
          <w:szCs w:val="24"/>
        </w:rPr>
        <w:t>’</w:t>
      </w:r>
      <w:r w:rsidRPr="00A91940">
        <w:rPr>
          <w:rFonts w:ascii="Times New Roman" w:eastAsia="SimSun" w:hAnsi="Times New Roman" w:cs="Times New Roman" w:hint="eastAsia"/>
          <w:sz w:val="24"/>
          <w:szCs w:val="24"/>
        </w:rPr>
        <w:t>s electronic Health Information System (HIS), which cannot be shared via external links. The key representative images are presented in the main manuscript (</w:t>
      </w:r>
      <w:r w:rsidR="00557915">
        <w:rPr>
          <w:rFonts w:ascii="Times New Roman" w:eastAsia="SimSun" w:hAnsi="Times New Roman" w:cs="Times New Roman"/>
          <w:sz w:val="24"/>
          <w:szCs w:val="24"/>
        </w:rPr>
        <w:fldChar w:fldCharType="begin" w:fldLock="1"/>
      </w:r>
      <w:r w:rsidR="00557915">
        <w:rPr>
          <w:rFonts w:ascii="Times New Roman" w:eastAsia="SimSun" w:hAnsi="Times New Roman" w:cs="Times New Roman"/>
          <w:sz w:val="24"/>
          <w:szCs w:val="24"/>
        </w:rPr>
        <w:instrText xml:space="preserve"> </w:instrText>
      </w:r>
      <w:r w:rsidR="00557915">
        <w:rPr>
          <w:rFonts w:ascii="Times New Roman" w:eastAsia="SimSun" w:hAnsi="Times New Roman" w:cs="Times New Roman" w:hint="eastAsia"/>
          <w:sz w:val="24"/>
          <w:szCs w:val="24"/>
        </w:rPr>
        <w:instrText>REF _Ref196244642 \h</w:instrText>
      </w:r>
      <w:r w:rsidR="00557915">
        <w:rPr>
          <w:rFonts w:ascii="Times New Roman" w:eastAsia="SimSun" w:hAnsi="Times New Roman" w:cs="Times New Roman"/>
          <w:sz w:val="24"/>
          <w:szCs w:val="24"/>
        </w:rPr>
        <w:instrText xml:space="preserve"> </w:instrText>
      </w:r>
      <w:r w:rsidR="00557915">
        <w:rPr>
          <w:rFonts w:ascii="Times New Roman" w:eastAsia="SimSun" w:hAnsi="Times New Roman" w:cs="Times New Roman"/>
          <w:sz w:val="24"/>
          <w:szCs w:val="24"/>
        </w:rPr>
      </w:r>
      <w:r w:rsidR="00557915">
        <w:rPr>
          <w:rFonts w:ascii="Times New Roman" w:eastAsia="SimSun" w:hAnsi="Times New Roman" w:cs="Times New Roman"/>
          <w:sz w:val="24"/>
          <w:szCs w:val="24"/>
        </w:rPr>
        <w:fldChar w:fldCharType="separate"/>
      </w:r>
      <w:r w:rsidR="00557915" w:rsidRPr="009E1A93">
        <w:rPr>
          <w:rFonts w:ascii="Times New Roman" w:eastAsia="SimSun" w:hAnsi="Times New Roman" w:cs="Times New Roman" w:hint="eastAsia"/>
          <w:sz w:val="24"/>
          <w:szCs w:val="24"/>
        </w:rPr>
        <w:t xml:space="preserve">Figure </w:t>
      </w:r>
      <w:r w:rsidR="00557915" w:rsidRPr="009E1A93">
        <w:rPr>
          <w:rFonts w:ascii="Times New Roman" w:eastAsia="SimSun" w:hAnsi="Times New Roman" w:cs="Times New Roman"/>
          <w:noProof/>
          <w:sz w:val="24"/>
          <w:szCs w:val="24"/>
        </w:rPr>
        <w:t>1</w:t>
      </w:r>
      <w:r w:rsidR="00557915">
        <w:rPr>
          <w:rFonts w:ascii="Times New Roman" w:eastAsia="SimSun" w:hAnsi="Times New Roman" w:cs="Times New Roman"/>
          <w:sz w:val="24"/>
          <w:szCs w:val="24"/>
        </w:rPr>
        <w:fldChar w:fldCharType="end"/>
      </w:r>
      <w:r w:rsidR="00C11ADD">
        <w:rPr>
          <w:rFonts w:ascii="Times New Roman" w:eastAsia="SimSun" w:hAnsi="Times New Roman" w:cs="Times New Roman" w:hint="eastAsia"/>
          <w:sz w:val="24"/>
          <w:szCs w:val="24"/>
        </w:rPr>
        <w:t>,2,3</w:t>
      </w:r>
      <w:r w:rsidRPr="00A91940">
        <w:rPr>
          <w:rFonts w:ascii="Times New Roman" w:eastAsia="SimSun" w:hAnsi="Times New Roman" w:cs="Times New Roman" w:hint="eastAsia"/>
          <w:sz w:val="24"/>
          <w:szCs w:val="24"/>
        </w:rPr>
        <w:t>). Any additional data may be provided upon reasonable request by contacting the corresponding author.</w:t>
      </w:r>
    </w:p>
    <w:p w14:paraId="13E0E4E7" w14:textId="77777777" w:rsidR="00A91940" w:rsidRPr="00A91940" w:rsidRDefault="00A91940" w:rsidP="00A91940">
      <w:pPr>
        <w:rPr>
          <w:rFonts w:ascii="Times New Roman" w:eastAsia="SimSun" w:hAnsi="Times New Roman" w:cs="Times New Roman"/>
          <w:szCs w:val="21"/>
        </w:rPr>
      </w:pPr>
    </w:p>
    <w:p w14:paraId="4BB3EDEB" w14:textId="37D9F805" w:rsidR="00C11ADD" w:rsidRDefault="00414E38" w:rsidP="00085BCD">
      <w:pPr>
        <w:rPr>
          <w:rFonts w:ascii="DengXian" w:eastAsia="DengXian" w:hAnsi="DengXian"/>
          <w:sz w:val="18"/>
        </w:rPr>
      </w:pPr>
      <w:r w:rsidRPr="009E1A93">
        <w:rPr>
          <w:rFonts w:ascii="Times New Roman" w:eastAsia="SimSun" w:hAnsi="Times New Roman" w:cs="Times New Roman" w:hint="eastAsia"/>
          <w:b/>
          <w:bCs/>
          <w:sz w:val="24"/>
          <w:szCs w:val="24"/>
        </w:rPr>
        <w:t>Reference</w:t>
      </w:r>
      <w:r w:rsidR="00000000" w:rsidRPr="009E1A93">
        <w:rPr>
          <w:rFonts w:eastAsia="SimSun"/>
        </w:rPr>
        <w:fldChar w:fldCharType="begin" w:fldLock="1"/>
      </w:r>
      <w:r w:rsidR="001A35DB">
        <w:rPr>
          <w:rFonts w:eastAsia="SimSun" w:hint="eastAsia"/>
        </w:rPr>
        <w:instrText xml:space="preserve"> ADDIN ZOTERO_BIBL {"uncited":[],"omitted":[],"custom":[]} CSL_BIBLIOGRAPHY </w:instrText>
      </w:r>
      <w:r w:rsidR="00000000" w:rsidRPr="009E1A93">
        <w:rPr>
          <w:rFonts w:eastAsia="SimSun"/>
        </w:rPr>
        <w:fldChar w:fldCharType="separate"/>
      </w:r>
    </w:p>
    <w:p w14:paraId="50BB2F01" w14:textId="77777777"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1. Lionetti R, De Luca M, Raffone A, et al. Clinics and pathology of Krukenberg tumor: a systematic review and meta-analysis. Minerva Obstet Gynecol. 2022;74(4):356–363.</w:t>
      </w:r>
    </w:p>
    <w:p w14:paraId="38072303" w14:textId="77777777"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2. Roth LM, Ramzy I. Perspectives on signet ring stromal cell tumour and related signet ring cell lesions of the gonads. Adv Anat Pathol. 2014;21(6):443–449.</w:t>
      </w:r>
    </w:p>
    <w:p w14:paraId="04D70847" w14:textId="3610B0E1"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 xml:space="preserve">3. Zhang Y, Zhang SQ, Shen WJ, </w:t>
      </w:r>
      <w:r>
        <w:rPr>
          <w:rFonts w:ascii="DengXian" w:eastAsia="DengXian" w:hAnsi="DengXian" w:hint="eastAsia"/>
          <w:sz w:val="18"/>
        </w:rPr>
        <w:t>Li FM, Pang XY, Wang D.</w:t>
      </w:r>
      <w:r w:rsidRPr="00C11ADD">
        <w:rPr>
          <w:rFonts w:ascii="DengXian" w:eastAsia="DengXian" w:hAnsi="DengXian" w:hint="eastAsia"/>
          <w:sz w:val="18"/>
        </w:rPr>
        <w:t xml:space="preserve"> </w:t>
      </w:r>
      <w:r w:rsidR="009F290E" w:rsidRPr="009F290E">
        <w:rPr>
          <w:rFonts w:ascii="DengXian" w:eastAsia="DengXian" w:hAnsi="DengXian" w:hint="eastAsia"/>
          <w:sz w:val="18"/>
        </w:rPr>
        <w:t>Chinese expert consensus on diagnosis and treatment of ovary metastasis of malignant neoplasms of the digestive tract(2023 edition)</w:t>
      </w:r>
      <w:r w:rsidRPr="00C11ADD">
        <w:rPr>
          <w:rFonts w:ascii="DengXian" w:eastAsia="DengXian" w:hAnsi="DengXian" w:hint="eastAsia"/>
          <w:sz w:val="18"/>
        </w:rPr>
        <w:t>. Chin J Pract Gynecol Obstet. 2023;39(8):817–823.</w:t>
      </w:r>
    </w:p>
    <w:p w14:paraId="48654BA2" w14:textId="2E9D7602"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 xml:space="preserve">4. Agnes A, Biondi A, Ricci R, </w:t>
      </w:r>
      <w:r w:rsidR="007570DA">
        <w:rPr>
          <w:rFonts w:ascii="DengXian" w:eastAsia="DengXian" w:hAnsi="DengXian" w:hint="eastAsia"/>
          <w:sz w:val="18"/>
        </w:rPr>
        <w:t>Gallotta V, D'Ugo D, Persiani R</w:t>
      </w:r>
      <w:r w:rsidRPr="00C11ADD">
        <w:rPr>
          <w:rFonts w:ascii="DengXian" w:eastAsia="DengXian" w:hAnsi="DengXian" w:hint="eastAsia"/>
          <w:sz w:val="18"/>
        </w:rPr>
        <w:t>. Krukenberg tumours: Seed, route and soil. Surg Oncol. 2017;26(4):438–445.</w:t>
      </w:r>
    </w:p>
    <w:p w14:paraId="71135666" w14:textId="50F7CEAA"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 xml:space="preserve">5. Porcel JM, Murata P, Porcel L, </w:t>
      </w:r>
      <w:r w:rsidR="00973525">
        <w:rPr>
          <w:rFonts w:ascii="DengXian" w:eastAsia="DengXian" w:hAnsi="DengXian" w:hint="eastAsia"/>
          <w:sz w:val="18"/>
        </w:rPr>
        <w:t>Bielsa S, Pardina M, Salud A</w:t>
      </w:r>
      <w:r w:rsidRPr="00C11ADD">
        <w:rPr>
          <w:rFonts w:ascii="DengXian" w:eastAsia="DengXian" w:hAnsi="DengXian" w:hint="eastAsia"/>
          <w:sz w:val="18"/>
        </w:rPr>
        <w:t>. Prevalence, clinical characteristics, and outcome of pleural effusions in ovarian cancer. Pleura Peritoneum. 2021;6(2):75–81.</w:t>
      </w:r>
    </w:p>
    <w:p w14:paraId="0DE66B03" w14:textId="77777777"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6. Wang F, Zhang X, Tang L, et al. The Chinese Society of Clinical Oncology (CSCO): Clinical guidelines for the diagnosis and treatment of gastric cancer, 2023. Cancer Commun (Lond). 2024;44(1):127–172.</w:t>
      </w:r>
    </w:p>
    <w:p w14:paraId="5BA4118E" w14:textId="3164F659"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 xml:space="preserve">7. Qiu S, Jiang H, Ding H, </w:t>
      </w:r>
      <w:r w:rsidR="00973525">
        <w:rPr>
          <w:rFonts w:ascii="DengXian" w:eastAsia="DengXian" w:hAnsi="DengXian" w:hint="eastAsia"/>
          <w:sz w:val="18"/>
        </w:rPr>
        <w:t>Feng L</w:t>
      </w:r>
      <w:r w:rsidRPr="00C11ADD">
        <w:rPr>
          <w:rFonts w:ascii="DengXian" w:eastAsia="DengXian" w:hAnsi="DengXian" w:hint="eastAsia"/>
          <w:sz w:val="18"/>
        </w:rPr>
        <w:t>. Krukenberg tumour arising from gastric cancer presenting as pseudo-Meigs' syndrome: a case report and literature review. Front Med (Lausanne). 2024;11:1427568.</w:t>
      </w:r>
    </w:p>
    <w:p w14:paraId="404248A8" w14:textId="4836D3A5"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 xml:space="preserve">8. Chavhan A, Gedekar P, Vagga AA, </w:t>
      </w:r>
      <w:r w:rsidR="00973525">
        <w:rPr>
          <w:rFonts w:ascii="DengXian" w:eastAsia="DengXian" w:hAnsi="DengXian" w:hint="eastAsia"/>
          <w:sz w:val="18"/>
        </w:rPr>
        <w:t>Ghule V, Kharche K</w:t>
      </w:r>
      <w:r w:rsidRPr="00C11ADD">
        <w:rPr>
          <w:rFonts w:ascii="DengXian" w:eastAsia="DengXian" w:hAnsi="DengXian" w:hint="eastAsia"/>
          <w:sz w:val="18"/>
        </w:rPr>
        <w:t>. Krukenberg tumour in a 34-year-old female: A case report. Cureus. 2024;16(4):e59001.</w:t>
      </w:r>
    </w:p>
    <w:p w14:paraId="49EA273A" w14:textId="77777777"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lastRenderedPageBreak/>
        <w:t>9. Bowler T, Thomson M, Dasaraju S. Pseudo-Meigs syndrome: a rare cause of abdominal ascites in a patient with an ovarian mass. BMJ Case Rep. 2025;18(4):e263547.</w:t>
      </w:r>
    </w:p>
    <w:p w14:paraId="36EFBFE0" w14:textId="77777777"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10. Krenke R, Maskey-Warzechowska M, Korczynski P, et al. Pleural effusion in Meigs’ syndrome—Transudate or exudate? A systematic review. Medicine (Baltimore). 2015;94(49):e2114.</w:t>
      </w:r>
    </w:p>
    <w:p w14:paraId="26A0CC1E" w14:textId="639AB35B"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 xml:space="preserve">11. Cheng XD, Ji JF, Zhu ZG, et al. </w:t>
      </w:r>
      <w:r w:rsidR="009F290E">
        <w:rPr>
          <w:rFonts w:ascii="DengXian" w:eastAsia="DengXian" w:hAnsi="DengXian" w:hint="eastAsia"/>
          <w:sz w:val="18"/>
        </w:rPr>
        <w:t xml:space="preserve">The </w:t>
      </w:r>
      <w:r w:rsidRPr="00C11ADD">
        <w:rPr>
          <w:rFonts w:ascii="DengXian" w:eastAsia="DengXian" w:hAnsi="DengXian" w:hint="eastAsia"/>
          <w:sz w:val="18"/>
        </w:rPr>
        <w:t xml:space="preserve">Chinese expert consensus on </w:t>
      </w:r>
      <w:r w:rsidR="009F290E">
        <w:rPr>
          <w:rFonts w:ascii="DengXian" w:eastAsia="DengXian" w:hAnsi="DengXian" w:hint="eastAsia"/>
          <w:sz w:val="18"/>
        </w:rPr>
        <w:t xml:space="preserve">the </w:t>
      </w:r>
      <w:r w:rsidRPr="00C11ADD">
        <w:rPr>
          <w:rFonts w:ascii="DengXian" w:eastAsia="DengXian" w:hAnsi="DengXian" w:hint="eastAsia"/>
          <w:sz w:val="18"/>
        </w:rPr>
        <w:t xml:space="preserve">diagnosis and treatment of ovarian metastasis </w:t>
      </w:r>
      <w:r w:rsidR="009F290E">
        <w:rPr>
          <w:rFonts w:ascii="DengXian" w:eastAsia="DengXian" w:hAnsi="DengXian" w:hint="eastAsia"/>
          <w:sz w:val="18"/>
        </w:rPr>
        <w:t>from</w:t>
      </w:r>
      <w:r w:rsidRPr="00C11ADD">
        <w:rPr>
          <w:rFonts w:ascii="DengXian" w:eastAsia="DengXian" w:hAnsi="DengXian" w:hint="eastAsia"/>
          <w:sz w:val="18"/>
        </w:rPr>
        <w:t xml:space="preserve"> gastric cancer</w:t>
      </w:r>
      <w:r w:rsidR="009F290E">
        <w:rPr>
          <w:rFonts w:ascii="DengXian" w:eastAsia="DengXian" w:hAnsi="DengXian" w:hint="eastAsia"/>
          <w:sz w:val="18"/>
        </w:rPr>
        <w:t>, 2021</w:t>
      </w:r>
      <w:r w:rsidRPr="00C11ADD">
        <w:rPr>
          <w:rFonts w:ascii="DengXian" w:eastAsia="DengXian" w:hAnsi="DengXian" w:hint="eastAsia"/>
          <w:sz w:val="18"/>
        </w:rPr>
        <w:t>. Chin J Cancer. 2022;31(2):81–87.</w:t>
      </w:r>
    </w:p>
    <w:p w14:paraId="01C36947" w14:textId="77777777"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12. Ajani JA, D’Amico TA, Bentrem DJ, et al. Gastric cancer, version 2.2025, NCCN Clinical Practice Guidelines in Oncology. J Natl Compr Canc Netw. 2025;23(5):169–191.</w:t>
      </w:r>
    </w:p>
    <w:p w14:paraId="7C3AB5E7" w14:textId="3E0FA0A5" w:rsidR="00970C09" w:rsidRDefault="00C11ADD" w:rsidP="00744BD6">
      <w:pPr>
        <w:pStyle w:val="Bibliography"/>
        <w:rPr>
          <w:rFonts w:ascii="DengXian" w:eastAsia="DengXian" w:hAnsi="DengXian"/>
          <w:sz w:val="18"/>
        </w:rPr>
      </w:pPr>
      <w:r w:rsidRPr="00C11ADD">
        <w:rPr>
          <w:rFonts w:ascii="DengXian" w:eastAsia="DengXian" w:hAnsi="DengXian" w:hint="eastAsia"/>
          <w:sz w:val="18"/>
        </w:rPr>
        <w:t>13.</w:t>
      </w:r>
      <w:r w:rsidR="00970C09">
        <w:rPr>
          <w:rFonts w:ascii="DengXian" w:eastAsia="DengXian" w:hAnsi="DengXian" w:hint="eastAsia"/>
          <w:sz w:val="18"/>
        </w:rPr>
        <w:t xml:space="preserve"> </w:t>
      </w:r>
      <w:r w:rsidR="00744BD6" w:rsidRPr="00744BD6">
        <w:rPr>
          <w:rFonts w:ascii="DengXian" w:eastAsia="DengXian" w:hAnsi="DengXian"/>
          <w:sz w:val="18"/>
        </w:rPr>
        <w:t>Expert Committee on Gynecological Oncology of the Chinese Society of Clinical Oncology</w:t>
      </w:r>
      <w:r w:rsidR="00970C09" w:rsidRPr="00C11ADD">
        <w:rPr>
          <w:rFonts w:ascii="DengXian" w:eastAsia="DengXian" w:hAnsi="DengXian" w:hint="eastAsia"/>
          <w:sz w:val="18"/>
        </w:rPr>
        <w:t xml:space="preserve">, </w:t>
      </w:r>
      <w:r w:rsidR="00744BD6">
        <w:rPr>
          <w:rFonts w:ascii="DengXian" w:eastAsia="DengXian" w:hAnsi="DengXian" w:hint="eastAsia"/>
          <w:sz w:val="18"/>
        </w:rPr>
        <w:t xml:space="preserve">Wang DB, </w:t>
      </w:r>
      <w:r w:rsidR="00A3149C">
        <w:rPr>
          <w:rFonts w:ascii="DengXian" w:eastAsia="DengXian" w:hAnsi="DengXian" w:hint="eastAsia"/>
          <w:sz w:val="18"/>
        </w:rPr>
        <w:t>Yin RT</w:t>
      </w:r>
      <w:r w:rsidR="00970C09" w:rsidRPr="00C11ADD">
        <w:rPr>
          <w:rFonts w:ascii="DengXian" w:eastAsia="DengXian" w:hAnsi="DengXian" w:hint="eastAsia"/>
          <w:sz w:val="18"/>
        </w:rPr>
        <w:t xml:space="preserve">, </w:t>
      </w:r>
      <w:r w:rsidR="00A3149C" w:rsidRPr="00C11ADD">
        <w:rPr>
          <w:rFonts w:ascii="DengXian" w:eastAsia="DengXian" w:hAnsi="DengXian" w:hint="eastAsia"/>
          <w:sz w:val="18"/>
        </w:rPr>
        <w:t>et al.</w:t>
      </w:r>
      <w:r w:rsidR="00970C09" w:rsidRPr="00C11ADD">
        <w:rPr>
          <w:rFonts w:ascii="DengXian" w:eastAsia="DengXian" w:hAnsi="DengXian" w:hint="eastAsia"/>
          <w:sz w:val="18"/>
        </w:rPr>
        <w:t xml:space="preserve"> </w:t>
      </w:r>
      <w:r w:rsidR="00970C09" w:rsidRPr="009F290E">
        <w:rPr>
          <w:rFonts w:ascii="DengXian" w:eastAsia="DengXian" w:hAnsi="DengXian" w:hint="eastAsia"/>
          <w:sz w:val="18"/>
        </w:rPr>
        <w:t xml:space="preserve">Chinese expert consensus on </w:t>
      </w:r>
      <w:r w:rsidR="00B7400E">
        <w:rPr>
          <w:rFonts w:ascii="DengXian" w:eastAsia="DengXian" w:hAnsi="DengXian" w:hint="eastAsia"/>
          <w:sz w:val="18"/>
        </w:rPr>
        <w:t>c</w:t>
      </w:r>
      <w:r w:rsidR="00B7400E" w:rsidRPr="00B7400E">
        <w:rPr>
          <w:rFonts w:ascii="DengXian" w:eastAsia="DengXian" w:hAnsi="DengXian"/>
          <w:sz w:val="18"/>
        </w:rPr>
        <w:t xml:space="preserve">linical </w:t>
      </w:r>
      <w:r w:rsidR="00B7400E">
        <w:rPr>
          <w:rFonts w:ascii="DengXian" w:eastAsia="DengXian" w:hAnsi="DengXian" w:hint="eastAsia"/>
          <w:sz w:val="18"/>
        </w:rPr>
        <w:t>a</w:t>
      </w:r>
      <w:r w:rsidR="00B7400E" w:rsidRPr="00B7400E">
        <w:rPr>
          <w:rFonts w:ascii="DengXian" w:eastAsia="DengXian" w:hAnsi="DengXian"/>
          <w:sz w:val="18"/>
        </w:rPr>
        <w:t xml:space="preserve">pplication of </w:t>
      </w:r>
      <w:r w:rsidR="00B7400E">
        <w:rPr>
          <w:rFonts w:ascii="DengXian" w:eastAsia="DengXian" w:hAnsi="DengXian" w:hint="eastAsia"/>
          <w:sz w:val="18"/>
        </w:rPr>
        <w:t>a</w:t>
      </w:r>
      <w:r w:rsidR="00B7400E" w:rsidRPr="00B7400E">
        <w:rPr>
          <w:rFonts w:ascii="DengXian" w:eastAsia="DengXian" w:hAnsi="DengXian"/>
          <w:sz w:val="18"/>
        </w:rPr>
        <w:t xml:space="preserve">nti-angiogenic </w:t>
      </w:r>
      <w:r w:rsidR="00B7400E">
        <w:rPr>
          <w:rFonts w:ascii="DengXian" w:eastAsia="DengXian" w:hAnsi="DengXian" w:hint="eastAsia"/>
          <w:sz w:val="18"/>
        </w:rPr>
        <w:t>s</w:t>
      </w:r>
      <w:r w:rsidR="00B7400E" w:rsidRPr="00B7400E">
        <w:rPr>
          <w:rFonts w:ascii="DengXian" w:eastAsia="DengXian" w:hAnsi="DengXian"/>
          <w:sz w:val="18"/>
        </w:rPr>
        <w:t>mall-</w:t>
      </w:r>
      <w:r w:rsidR="00B7400E">
        <w:rPr>
          <w:rFonts w:ascii="DengXian" w:eastAsia="DengXian" w:hAnsi="DengXian" w:hint="eastAsia"/>
          <w:sz w:val="18"/>
        </w:rPr>
        <w:t>m</w:t>
      </w:r>
      <w:r w:rsidR="00B7400E" w:rsidRPr="00B7400E">
        <w:rPr>
          <w:rFonts w:ascii="DengXian" w:eastAsia="DengXian" w:hAnsi="DengXian"/>
          <w:sz w:val="18"/>
        </w:rPr>
        <w:t xml:space="preserve">olecule </w:t>
      </w:r>
      <w:r w:rsidR="00B7400E">
        <w:rPr>
          <w:rFonts w:ascii="DengXian" w:eastAsia="DengXian" w:hAnsi="DengXian" w:hint="eastAsia"/>
          <w:sz w:val="18"/>
        </w:rPr>
        <w:t>t</w:t>
      </w:r>
      <w:r w:rsidR="00B7400E" w:rsidRPr="00B7400E">
        <w:rPr>
          <w:rFonts w:ascii="DengXian" w:eastAsia="DengXian" w:hAnsi="DengXian"/>
          <w:sz w:val="18"/>
        </w:rPr>
        <w:t xml:space="preserve">yrosine </w:t>
      </w:r>
      <w:r w:rsidR="00B7400E">
        <w:rPr>
          <w:rFonts w:ascii="DengXian" w:eastAsia="DengXian" w:hAnsi="DengXian" w:hint="eastAsia"/>
          <w:sz w:val="18"/>
        </w:rPr>
        <w:t>k</w:t>
      </w:r>
      <w:r w:rsidR="00B7400E" w:rsidRPr="00B7400E">
        <w:rPr>
          <w:rFonts w:ascii="DengXian" w:eastAsia="DengXian" w:hAnsi="DengXian"/>
          <w:sz w:val="18"/>
        </w:rPr>
        <w:t xml:space="preserve">inase </w:t>
      </w:r>
      <w:r w:rsidR="00B7400E">
        <w:rPr>
          <w:rFonts w:ascii="DengXian" w:eastAsia="DengXian" w:hAnsi="DengXian" w:hint="eastAsia"/>
          <w:sz w:val="18"/>
        </w:rPr>
        <w:t>i</w:t>
      </w:r>
      <w:r w:rsidR="00B7400E" w:rsidRPr="00B7400E">
        <w:rPr>
          <w:rFonts w:ascii="DengXian" w:eastAsia="DengXian" w:hAnsi="DengXian"/>
          <w:sz w:val="18"/>
        </w:rPr>
        <w:t xml:space="preserve">nhibitors in </w:t>
      </w:r>
      <w:r w:rsidR="00B7400E">
        <w:rPr>
          <w:rFonts w:ascii="DengXian" w:eastAsia="DengXian" w:hAnsi="DengXian" w:hint="eastAsia"/>
          <w:sz w:val="18"/>
        </w:rPr>
        <w:t>r</w:t>
      </w:r>
      <w:r w:rsidR="00B7400E" w:rsidRPr="00B7400E">
        <w:rPr>
          <w:rFonts w:ascii="DengXian" w:eastAsia="DengXian" w:hAnsi="DengXian"/>
          <w:sz w:val="18"/>
        </w:rPr>
        <w:t xml:space="preserve">ecurrent, </w:t>
      </w:r>
      <w:r w:rsidR="00B7400E">
        <w:rPr>
          <w:rFonts w:ascii="DengXian" w:eastAsia="DengXian" w:hAnsi="DengXian" w:hint="eastAsia"/>
          <w:sz w:val="18"/>
        </w:rPr>
        <w:t>m</w:t>
      </w:r>
      <w:r w:rsidR="00B7400E" w:rsidRPr="00B7400E">
        <w:rPr>
          <w:rFonts w:ascii="DengXian" w:eastAsia="DengXian" w:hAnsi="DengXian"/>
          <w:sz w:val="18"/>
        </w:rPr>
        <w:t xml:space="preserve">etastatic or </w:t>
      </w:r>
      <w:r w:rsidR="00B7400E">
        <w:rPr>
          <w:rFonts w:ascii="DengXian" w:eastAsia="DengXian" w:hAnsi="DengXian" w:hint="eastAsia"/>
          <w:sz w:val="18"/>
        </w:rPr>
        <w:t>a</w:t>
      </w:r>
      <w:r w:rsidR="00B7400E" w:rsidRPr="00B7400E">
        <w:rPr>
          <w:rFonts w:ascii="DengXian" w:eastAsia="DengXian" w:hAnsi="DengXian"/>
          <w:sz w:val="18"/>
        </w:rPr>
        <w:t xml:space="preserve">dvanced </w:t>
      </w:r>
      <w:r w:rsidR="00B7400E">
        <w:rPr>
          <w:rFonts w:ascii="DengXian" w:eastAsia="DengXian" w:hAnsi="DengXian" w:hint="eastAsia"/>
          <w:sz w:val="18"/>
        </w:rPr>
        <w:t>g</w:t>
      </w:r>
      <w:r w:rsidR="00B7400E" w:rsidRPr="00B7400E">
        <w:rPr>
          <w:rFonts w:ascii="DengXian" w:eastAsia="DengXian" w:hAnsi="DengXian"/>
          <w:sz w:val="18"/>
        </w:rPr>
        <w:t xml:space="preserve">ynecological </w:t>
      </w:r>
      <w:r w:rsidR="00332F33">
        <w:rPr>
          <w:rFonts w:ascii="DengXian" w:eastAsia="DengXian" w:hAnsi="DengXian" w:hint="eastAsia"/>
          <w:sz w:val="18"/>
        </w:rPr>
        <w:t>neoplasm</w:t>
      </w:r>
      <w:r w:rsidR="00B7400E" w:rsidRPr="00B7400E">
        <w:rPr>
          <w:rFonts w:ascii="DengXian" w:eastAsia="DengXian" w:hAnsi="DengXian"/>
          <w:sz w:val="18"/>
        </w:rPr>
        <w:t>s</w:t>
      </w:r>
      <w:r w:rsidR="00970C09" w:rsidRPr="009F290E">
        <w:rPr>
          <w:rFonts w:ascii="DengXian" w:eastAsia="DengXian" w:hAnsi="DengXian" w:hint="eastAsia"/>
          <w:sz w:val="18"/>
        </w:rPr>
        <w:t>(202</w:t>
      </w:r>
      <w:r w:rsidR="00A3149C">
        <w:rPr>
          <w:rFonts w:ascii="DengXian" w:eastAsia="DengXian" w:hAnsi="DengXian" w:hint="eastAsia"/>
          <w:sz w:val="18"/>
        </w:rPr>
        <w:t>5</w:t>
      </w:r>
      <w:r w:rsidR="00970C09" w:rsidRPr="009F290E">
        <w:rPr>
          <w:rFonts w:ascii="DengXian" w:eastAsia="DengXian" w:hAnsi="DengXian" w:hint="eastAsia"/>
          <w:sz w:val="18"/>
        </w:rPr>
        <w:t xml:space="preserve"> edition)</w:t>
      </w:r>
      <w:r w:rsidR="00970C09" w:rsidRPr="00C11ADD">
        <w:rPr>
          <w:rFonts w:ascii="DengXian" w:eastAsia="DengXian" w:hAnsi="DengXian" w:hint="eastAsia"/>
          <w:sz w:val="18"/>
        </w:rPr>
        <w:t>. Chin J Pract Gynecol Obstet.</w:t>
      </w:r>
      <w:r w:rsidR="00744BD6">
        <w:rPr>
          <w:rFonts w:ascii="DengXian" w:eastAsia="DengXian" w:hAnsi="DengXian" w:hint="eastAsia"/>
          <w:sz w:val="18"/>
        </w:rPr>
        <w:t xml:space="preserve"> </w:t>
      </w:r>
      <w:r w:rsidR="00744BD6" w:rsidRPr="00744BD6">
        <w:rPr>
          <w:rFonts w:ascii="DengXian" w:eastAsia="DengXian" w:hAnsi="DengXian"/>
          <w:sz w:val="18"/>
        </w:rPr>
        <w:t>2025</w:t>
      </w:r>
      <w:r w:rsidR="00744BD6">
        <w:rPr>
          <w:rFonts w:ascii="DengXian" w:eastAsia="DengXian" w:hAnsi="DengXian" w:hint="eastAsia"/>
          <w:sz w:val="18"/>
        </w:rPr>
        <w:t>;</w:t>
      </w:r>
      <w:r w:rsidR="00744BD6" w:rsidRPr="00744BD6">
        <w:rPr>
          <w:rFonts w:ascii="DengXian" w:eastAsia="DengXian" w:hAnsi="DengXian"/>
          <w:sz w:val="18"/>
        </w:rPr>
        <w:t>41</w:t>
      </w:r>
      <w:r w:rsidR="00B7400E">
        <w:rPr>
          <w:rFonts w:ascii="DengXian" w:eastAsia="DengXian" w:hAnsi="DengXian" w:hint="eastAsia"/>
          <w:sz w:val="18"/>
        </w:rPr>
        <w:t>(6)</w:t>
      </w:r>
      <w:r w:rsidR="00744BD6">
        <w:rPr>
          <w:rFonts w:ascii="DengXian" w:eastAsia="DengXian" w:hAnsi="DengXian" w:hint="eastAsia"/>
          <w:sz w:val="18"/>
        </w:rPr>
        <w:t>:</w:t>
      </w:r>
      <w:r w:rsidR="00744BD6" w:rsidRPr="00744BD6">
        <w:rPr>
          <w:rFonts w:ascii="DengXian" w:eastAsia="DengXian" w:hAnsi="DengXian"/>
          <w:sz w:val="18"/>
        </w:rPr>
        <w:t>639-648.</w:t>
      </w:r>
      <w:r w:rsidRPr="00C11ADD">
        <w:rPr>
          <w:rFonts w:ascii="DengXian" w:eastAsia="DengXian" w:hAnsi="DengXian" w:hint="eastAsia"/>
          <w:sz w:val="18"/>
        </w:rPr>
        <w:t xml:space="preserve"> </w:t>
      </w:r>
    </w:p>
    <w:p w14:paraId="40AA7C1E" w14:textId="1DFDAE27" w:rsidR="00C11ADD" w:rsidRPr="00C11ADD" w:rsidRDefault="00970C09" w:rsidP="00C11ADD">
      <w:pPr>
        <w:pStyle w:val="Bibliography"/>
        <w:rPr>
          <w:rFonts w:ascii="DengXian" w:eastAsia="DengXian" w:hAnsi="DengXian"/>
          <w:sz w:val="18"/>
        </w:rPr>
      </w:pPr>
      <w:r>
        <w:rPr>
          <w:rFonts w:ascii="DengXian" w:eastAsia="DengXian" w:hAnsi="DengXian" w:hint="eastAsia"/>
          <w:sz w:val="18"/>
        </w:rPr>
        <w:t xml:space="preserve">14. </w:t>
      </w:r>
      <w:r w:rsidR="00C11ADD" w:rsidRPr="00C11ADD">
        <w:rPr>
          <w:rFonts w:ascii="DengXian" w:eastAsia="DengXian" w:hAnsi="DengXian" w:hint="eastAsia"/>
          <w:sz w:val="18"/>
        </w:rPr>
        <w:t>Shen L, Bai Y, Lin X, et al. First-line nivolumab plus chemotherapy versus chemotherapy alone in GC/GEJC/EAC: CheckMate 649 Chinese subgroup analysis with 3-year follow-up. J Clin Oncol. 2023;41(4_suppl):353.</w:t>
      </w:r>
    </w:p>
    <w:p w14:paraId="676874FF" w14:textId="0CC7C53F" w:rsidR="00C11ADD" w:rsidRPr="00C11ADD" w:rsidRDefault="00C11ADD" w:rsidP="00C11ADD">
      <w:pPr>
        <w:pStyle w:val="Bibliography"/>
        <w:rPr>
          <w:rFonts w:ascii="DengXian" w:eastAsia="DengXian" w:hAnsi="DengXian"/>
          <w:sz w:val="18"/>
        </w:rPr>
      </w:pPr>
      <w:r w:rsidRPr="00C11ADD">
        <w:rPr>
          <w:rFonts w:ascii="DengXian" w:eastAsia="DengXian" w:hAnsi="DengXian" w:hint="eastAsia"/>
          <w:sz w:val="18"/>
        </w:rPr>
        <w:t>1</w:t>
      </w:r>
      <w:r w:rsidR="00970C09">
        <w:rPr>
          <w:rFonts w:ascii="DengXian" w:eastAsia="DengXian" w:hAnsi="DengXian" w:hint="eastAsia"/>
          <w:sz w:val="18"/>
        </w:rPr>
        <w:t>5</w:t>
      </w:r>
      <w:r w:rsidRPr="00C11ADD">
        <w:rPr>
          <w:rFonts w:ascii="DengXian" w:eastAsia="DengXian" w:hAnsi="DengXian" w:hint="eastAsia"/>
          <w:sz w:val="18"/>
        </w:rPr>
        <w:t>. Argento AC, Gillespie CT. Pleural disease in women. Semin Respir Crit Care Med. 2019;40(3):402–409.</w:t>
      </w:r>
    </w:p>
    <w:p w14:paraId="28C46494" w14:textId="3AD14D94" w:rsidR="001A35DB" w:rsidRPr="001A35DB" w:rsidRDefault="00C11ADD" w:rsidP="00C11ADD">
      <w:pPr>
        <w:pStyle w:val="Bibliography"/>
        <w:rPr>
          <w:rFonts w:ascii="DengXian" w:eastAsia="DengXian" w:hAnsi="DengXian"/>
          <w:sz w:val="18"/>
        </w:rPr>
      </w:pPr>
      <w:r w:rsidRPr="00C11ADD">
        <w:rPr>
          <w:rFonts w:ascii="DengXian" w:eastAsia="DengXian" w:hAnsi="DengXian" w:hint="eastAsia"/>
          <w:sz w:val="18"/>
        </w:rPr>
        <w:t>1</w:t>
      </w:r>
      <w:r w:rsidR="00970C09">
        <w:rPr>
          <w:rFonts w:ascii="DengXian" w:eastAsia="DengXian" w:hAnsi="DengXian" w:hint="eastAsia"/>
          <w:sz w:val="18"/>
        </w:rPr>
        <w:t>6</w:t>
      </w:r>
      <w:r w:rsidRPr="00C11ADD">
        <w:rPr>
          <w:rFonts w:ascii="DengXian" w:eastAsia="DengXian" w:hAnsi="DengXian" w:hint="eastAsia"/>
          <w:sz w:val="18"/>
        </w:rPr>
        <w:t xml:space="preserve">. Annal A, Sadath SA. </w:t>
      </w:r>
      <w:bookmarkStart w:id="3" w:name="OLE_LINK4"/>
      <w:r w:rsidRPr="00C11ADD">
        <w:rPr>
          <w:rFonts w:ascii="DengXian" w:eastAsia="DengXian" w:hAnsi="DengXian" w:hint="eastAsia"/>
          <w:sz w:val="18"/>
        </w:rPr>
        <w:t>Krukenberg tumour in adolescents: rare but possible</w:t>
      </w:r>
      <w:bookmarkEnd w:id="3"/>
      <w:r w:rsidRPr="00C11ADD">
        <w:rPr>
          <w:rFonts w:ascii="DengXian" w:eastAsia="DengXian" w:hAnsi="DengXian" w:hint="eastAsia"/>
          <w:sz w:val="18"/>
        </w:rPr>
        <w:t>. J Obstet Gynaecol India. 2022;72(5):460–462.</w:t>
      </w:r>
      <w:r w:rsidR="001A35DB" w:rsidRPr="001A35DB">
        <w:rPr>
          <w:rFonts w:ascii="DengXian" w:eastAsia="DengXian" w:hAnsi="DengXian"/>
          <w:sz w:val="18"/>
        </w:rPr>
        <w:t xml:space="preserve"> </w:t>
      </w:r>
    </w:p>
    <w:p w14:paraId="05903ACF" w14:textId="449AEA3E" w:rsidR="00AC042A" w:rsidRPr="00866F48" w:rsidRDefault="00000000" w:rsidP="00866F48">
      <w:pPr>
        <w:spacing w:line="340" w:lineRule="exact"/>
        <w:rPr>
          <w:rFonts w:ascii="Times New Roman" w:eastAsia="SimSun" w:hAnsi="Times New Roman" w:cs="Times New Roman"/>
          <w:sz w:val="24"/>
          <w:szCs w:val="24"/>
        </w:rPr>
      </w:pPr>
      <w:r w:rsidRPr="009E1A93">
        <w:rPr>
          <w:rFonts w:ascii="Times New Roman" w:eastAsia="SimSun" w:hAnsi="Times New Roman" w:cs="Times New Roman"/>
          <w:sz w:val="24"/>
          <w:szCs w:val="24"/>
        </w:rPr>
        <w:fldChar w:fldCharType="end"/>
      </w:r>
    </w:p>
    <w:p w14:paraId="7AAE3BCE" w14:textId="68B8C595" w:rsidR="005C45EA" w:rsidRPr="009E1A93" w:rsidRDefault="007F3E5F" w:rsidP="007F3E5F">
      <w:pPr>
        <w:pStyle w:val="Caption"/>
        <w:rPr>
          <w:rFonts w:ascii="Times New Roman" w:eastAsia="SimSun" w:hAnsi="Times New Roman" w:cs="Times New Roman"/>
          <w:sz w:val="24"/>
          <w:szCs w:val="24"/>
        </w:rPr>
      </w:pPr>
      <w:bookmarkStart w:id="4" w:name="_Ref196244642"/>
      <w:bookmarkStart w:id="5" w:name="_Hlk196426266"/>
      <w:r w:rsidRPr="009E1A93">
        <w:rPr>
          <w:rFonts w:ascii="Times New Roman" w:eastAsia="SimSun" w:hAnsi="Times New Roman" w:cs="Times New Roman" w:hint="eastAsia"/>
          <w:sz w:val="24"/>
          <w:szCs w:val="24"/>
        </w:rPr>
        <w:t xml:space="preserve">Figure </w:t>
      </w:r>
      <w:r w:rsidRPr="009E1A93">
        <w:rPr>
          <w:rFonts w:ascii="Times New Roman" w:eastAsia="SimSun" w:hAnsi="Times New Roman" w:cs="Times New Roman" w:hint="eastAsia"/>
          <w:sz w:val="24"/>
          <w:szCs w:val="24"/>
        </w:rPr>
        <w:fldChar w:fldCharType="begin" w:fldLock="1"/>
      </w:r>
      <w:r w:rsidRPr="009E1A93">
        <w:rPr>
          <w:rFonts w:ascii="Times New Roman" w:eastAsia="SimSun" w:hAnsi="Times New Roman" w:cs="Times New Roman" w:hint="eastAsia"/>
          <w:sz w:val="24"/>
          <w:szCs w:val="24"/>
        </w:rPr>
        <w:instrText xml:space="preserve"> SEQ Figure \* ARABIC </w:instrText>
      </w:r>
      <w:r w:rsidRPr="009E1A93">
        <w:rPr>
          <w:rFonts w:ascii="Times New Roman" w:eastAsia="SimSun" w:hAnsi="Times New Roman" w:cs="Times New Roman" w:hint="eastAsia"/>
          <w:sz w:val="24"/>
          <w:szCs w:val="24"/>
        </w:rPr>
        <w:fldChar w:fldCharType="separate"/>
      </w:r>
      <w:r w:rsidR="00AC5A72" w:rsidRPr="009E1A93">
        <w:rPr>
          <w:rFonts w:ascii="Times New Roman" w:eastAsia="SimSun" w:hAnsi="Times New Roman" w:cs="Times New Roman"/>
          <w:sz w:val="24"/>
          <w:szCs w:val="24"/>
        </w:rPr>
        <w:t>1</w:t>
      </w:r>
      <w:r w:rsidRPr="009E1A93">
        <w:rPr>
          <w:rFonts w:ascii="Times New Roman" w:eastAsia="SimSun" w:hAnsi="Times New Roman" w:cs="Times New Roman" w:hint="eastAsia"/>
          <w:sz w:val="24"/>
          <w:szCs w:val="24"/>
        </w:rPr>
        <w:fldChar w:fldCharType="end"/>
      </w:r>
      <w:bookmarkEnd w:id="4"/>
      <w:r w:rsidR="005C45EA" w:rsidRPr="009E1A93">
        <w:rPr>
          <w:rFonts w:ascii="Times New Roman" w:eastAsia="SimSun" w:hAnsi="Times New Roman" w:cs="Times New Roman" w:hint="eastAsia"/>
          <w:sz w:val="24"/>
          <w:szCs w:val="24"/>
        </w:rPr>
        <w:t xml:space="preserve"> </w:t>
      </w:r>
    </w:p>
    <w:p w14:paraId="75684327" w14:textId="52DA704F" w:rsidR="005C45EA" w:rsidRPr="009E1A93" w:rsidRDefault="00F217C4" w:rsidP="00F217C4">
      <w:pPr>
        <w:rPr>
          <w:rFonts w:ascii="Times New Roman" w:eastAsia="SimSun" w:hAnsi="Times New Roman" w:cs="Times New Roman"/>
          <w:sz w:val="24"/>
          <w:szCs w:val="24"/>
        </w:rPr>
      </w:pPr>
      <w:r w:rsidRPr="00F217C4">
        <w:rPr>
          <w:rFonts w:ascii="Times New Roman" w:eastAsia="SimSun" w:hAnsi="Times New Roman" w:cs="Times New Roman" w:hint="eastAsia"/>
          <w:sz w:val="24"/>
          <w:szCs w:val="24"/>
        </w:rPr>
        <w:t xml:space="preserve">Both ovaries were enlarged and demonstrated iso- to slightly hypodense masses, measuring approximately 4.0 </w:t>
      </w:r>
      <w:r w:rsidRPr="00F217C4">
        <w:rPr>
          <w:rFonts w:ascii="Times New Roman" w:eastAsia="SimSun" w:hAnsi="Times New Roman" w:cs="Times New Roman" w:hint="eastAsia"/>
          <w:sz w:val="24"/>
          <w:szCs w:val="24"/>
        </w:rPr>
        <w:t>×</w:t>
      </w:r>
      <w:r w:rsidRPr="00F217C4">
        <w:rPr>
          <w:rFonts w:ascii="Times New Roman" w:eastAsia="SimSun" w:hAnsi="Times New Roman" w:cs="Times New Roman" w:hint="eastAsia"/>
          <w:sz w:val="24"/>
          <w:szCs w:val="24"/>
        </w:rPr>
        <w:t xml:space="preserve">4.4 cm on the left and 6.2 </w:t>
      </w:r>
      <w:r w:rsidRPr="00F217C4">
        <w:rPr>
          <w:rFonts w:ascii="Times New Roman" w:eastAsia="SimSun" w:hAnsi="Times New Roman" w:cs="Times New Roman" w:hint="eastAsia"/>
          <w:sz w:val="24"/>
          <w:szCs w:val="24"/>
        </w:rPr>
        <w:t>×</w:t>
      </w:r>
      <w:r w:rsidRPr="00F217C4">
        <w:rPr>
          <w:rFonts w:ascii="Times New Roman" w:eastAsia="SimSun" w:hAnsi="Times New Roman" w:cs="Times New Roman" w:hint="eastAsia"/>
          <w:sz w:val="24"/>
          <w:szCs w:val="24"/>
        </w:rPr>
        <w:t>5.1 cm on the right. Multiple nodular foci of increased fluorodeoxyglucose (FDG) uptake were observed within both ovaries, with a maximum standardized uptake value (</w:t>
      </w:r>
      <w:proofErr w:type="spellStart"/>
      <w:r w:rsidRPr="00F217C4">
        <w:rPr>
          <w:rFonts w:ascii="Times New Roman" w:eastAsia="SimSun" w:hAnsi="Times New Roman" w:cs="Times New Roman" w:hint="eastAsia"/>
          <w:sz w:val="24"/>
          <w:szCs w:val="24"/>
        </w:rPr>
        <w:t>SUVmax</w:t>
      </w:r>
      <w:proofErr w:type="spellEnd"/>
      <w:r w:rsidRPr="00F217C4">
        <w:rPr>
          <w:rFonts w:ascii="Times New Roman" w:eastAsia="SimSun" w:hAnsi="Times New Roman" w:cs="Times New Roman" w:hint="eastAsia"/>
          <w:sz w:val="24"/>
          <w:szCs w:val="24"/>
        </w:rPr>
        <w:t>) of 7.4</w:t>
      </w:r>
      <w:r w:rsidR="005C45EA" w:rsidRPr="009E1A93">
        <w:rPr>
          <w:rFonts w:ascii="Times New Roman" w:eastAsia="SimSun" w:hAnsi="Times New Roman" w:cs="Times New Roman" w:hint="eastAsia"/>
          <w:sz w:val="24"/>
          <w:szCs w:val="24"/>
        </w:rPr>
        <w:t xml:space="preserve">(A). </w:t>
      </w:r>
      <w:r w:rsidRPr="00F217C4">
        <w:rPr>
          <w:rFonts w:ascii="Times New Roman" w:eastAsia="SimSun" w:hAnsi="Times New Roman" w:cs="Times New Roman" w:hint="eastAsia"/>
          <w:sz w:val="24"/>
          <w:szCs w:val="24"/>
        </w:rPr>
        <w:t>Irregular thickening of the right pleura was observed, accompanied by nodular and band-like areas of abnormal fluorodeoxyglucose (FDG) uptake</w:t>
      </w:r>
      <w:r w:rsidR="005C45EA" w:rsidRPr="009E1A93">
        <w:rPr>
          <w:rFonts w:ascii="Times New Roman" w:eastAsia="SimSun" w:hAnsi="Times New Roman" w:cs="Times New Roman" w:hint="eastAsia"/>
          <w:sz w:val="24"/>
          <w:szCs w:val="24"/>
        </w:rPr>
        <w:t>(B).</w:t>
      </w:r>
      <w:r w:rsidRPr="00F217C4">
        <w:rPr>
          <w:rFonts w:ascii="Times New Roman" w:eastAsia="SimSun" w:hAnsi="Times New Roman" w:cs="Times New Roman" w:hint="eastAsia"/>
          <w:sz w:val="24"/>
          <w:szCs w:val="24"/>
        </w:rPr>
        <w:t xml:space="preserve"> Irregular thickening of the right peritoneum was also noted</w:t>
      </w:r>
      <w:r w:rsidR="0084303C" w:rsidRPr="00F217C4">
        <w:rPr>
          <w:rFonts w:ascii="Times New Roman" w:eastAsia="SimSun" w:hAnsi="Times New Roman" w:cs="Times New Roman" w:hint="eastAsia"/>
          <w:sz w:val="24"/>
          <w:szCs w:val="24"/>
        </w:rPr>
        <w:t>. The maximum standardized uptake value (</w:t>
      </w:r>
      <w:proofErr w:type="spellStart"/>
      <w:r w:rsidR="0084303C" w:rsidRPr="00F217C4">
        <w:rPr>
          <w:rFonts w:ascii="Times New Roman" w:eastAsia="SimSun" w:hAnsi="Times New Roman" w:cs="Times New Roman" w:hint="eastAsia"/>
          <w:sz w:val="24"/>
          <w:szCs w:val="24"/>
        </w:rPr>
        <w:t>SUVmax</w:t>
      </w:r>
      <w:proofErr w:type="spellEnd"/>
      <w:r w:rsidR="0084303C" w:rsidRPr="00F217C4">
        <w:rPr>
          <w:rFonts w:ascii="Times New Roman" w:eastAsia="SimSun" w:hAnsi="Times New Roman" w:cs="Times New Roman" w:hint="eastAsia"/>
          <w:sz w:val="24"/>
          <w:szCs w:val="24"/>
        </w:rPr>
        <w:t>) reached 6.9 in the perihepatic peritoneum</w:t>
      </w:r>
      <w:r w:rsidR="00AC042A" w:rsidRPr="009E1A93">
        <w:rPr>
          <w:rFonts w:ascii="Times New Roman" w:eastAsia="SimSun" w:hAnsi="Times New Roman" w:cs="Times New Roman"/>
          <w:sz w:val="24"/>
          <w:szCs w:val="24"/>
        </w:rPr>
        <w:t>(</w:t>
      </w:r>
      <w:r w:rsidR="009E4524" w:rsidRPr="009E1A93">
        <w:rPr>
          <w:rFonts w:ascii="Times New Roman" w:eastAsia="SimSun" w:hAnsi="Times New Roman" w:cs="Times New Roman" w:hint="eastAsia"/>
          <w:sz w:val="24"/>
          <w:szCs w:val="24"/>
        </w:rPr>
        <w:t>C</w:t>
      </w:r>
      <w:r w:rsidR="00AC042A" w:rsidRPr="009E1A93">
        <w:rPr>
          <w:rFonts w:ascii="Times New Roman" w:eastAsia="SimSun" w:hAnsi="Times New Roman" w:cs="Times New Roman"/>
          <w:sz w:val="24"/>
          <w:szCs w:val="24"/>
        </w:rPr>
        <w:t>)</w:t>
      </w:r>
      <w:r w:rsidR="00AC042A" w:rsidRPr="009E1A93">
        <w:rPr>
          <w:rFonts w:ascii="Times New Roman" w:eastAsia="SimSun" w:hAnsi="Times New Roman" w:cs="Times New Roman" w:hint="eastAsia"/>
          <w:sz w:val="24"/>
          <w:szCs w:val="24"/>
        </w:rPr>
        <w:t xml:space="preserve">. </w:t>
      </w:r>
    </w:p>
    <w:bookmarkEnd w:id="5"/>
    <w:p w14:paraId="6262A0BD" w14:textId="2BC95159" w:rsidR="005C45EA" w:rsidRPr="009E1A93" w:rsidRDefault="005C45EA" w:rsidP="00F217C4">
      <w:pPr>
        <w:rPr>
          <w:rFonts w:ascii="SimSun" w:eastAsia="SimSun" w:hAnsi="SimSun" w:cs="Times New Roman"/>
          <w:noProof/>
          <w:sz w:val="18"/>
          <w:szCs w:val="18"/>
        </w:rPr>
      </w:pPr>
    </w:p>
    <w:p w14:paraId="5503B6D4" w14:textId="0BD10924" w:rsidR="005C45EA" w:rsidRDefault="005C45EA" w:rsidP="005C45EA">
      <w:pPr>
        <w:pStyle w:val="Caption"/>
        <w:rPr>
          <w:rFonts w:ascii="Times New Roman" w:hAnsi="Times New Roman" w:cs="Times New Roman"/>
          <w:sz w:val="24"/>
          <w:szCs w:val="24"/>
        </w:rPr>
      </w:pPr>
      <w:bookmarkStart w:id="6" w:name="_Ref195216481"/>
      <w:bookmarkStart w:id="7" w:name="_Hlk196426282"/>
      <w:r w:rsidRPr="009E1A93">
        <w:rPr>
          <w:rFonts w:ascii="Times New Roman" w:hAnsi="Times New Roman" w:cs="Times New Roman"/>
          <w:sz w:val="24"/>
          <w:szCs w:val="24"/>
        </w:rPr>
        <w:t xml:space="preserve">Figure </w:t>
      </w:r>
      <w:r w:rsidRPr="009E1A93">
        <w:rPr>
          <w:rFonts w:ascii="Times New Roman" w:hAnsi="Times New Roman" w:cs="Times New Roman"/>
          <w:sz w:val="24"/>
          <w:szCs w:val="24"/>
        </w:rPr>
        <w:fldChar w:fldCharType="begin" w:fldLock="1"/>
      </w:r>
      <w:r w:rsidRPr="009E1A93">
        <w:rPr>
          <w:rFonts w:ascii="Times New Roman" w:hAnsi="Times New Roman" w:cs="Times New Roman"/>
          <w:sz w:val="24"/>
          <w:szCs w:val="24"/>
        </w:rPr>
        <w:instrText xml:space="preserve"> SEQ Figure \* ARABIC </w:instrText>
      </w:r>
      <w:r w:rsidRPr="009E1A93">
        <w:rPr>
          <w:rFonts w:ascii="Times New Roman" w:hAnsi="Times New Roman" w:cs="Times New Roman"/>
          <w:sz w:val="24"/>
          <w:szCs w:val="24"/>
        </w:rPr>
        <w:fldChar w:fldCharType="separate"/>
      </w:r>
      <w:r w:rsidR="00AC5A72" w:rsidRPr="009E1A93">
        <w:rPr>
          <w:rFonts w:ascii="Times New Roman" w:hAnsi="Times New Roman" w:cs="Times New Roman"/>
          <w:noProof/>
          <w:sz w:val="24"/>
          <w:szCs w:val="24"/>
        </w:rPr>
        <w:t>2</w:t>
      </w:r>
      <w:r w:rsidRPr="009E1A93">
        <w:rPr>
          <w:rFonts w:ascii="Times New Roman" w:hAnsi="Times New Roman" w:cs="Times New Roman"/>
          <w:sz w:val="24"/>
          <w:szCs w:val="24"/>
        </w:rPr>
        <w:fldChar w:fldCharType="end"/>
      </w:r>
      <w:bookmarkEnd w:id="6"/>
    </w:p>
    <w:p w14:paraId="6BCB7F8B" w14:textId="227AED2D" w:rsidR="00F217C4" w:rsidRPr="0016336E" w:rsidRDefault="0016336E" w:rsidP="00F217C4">
      <w:pPr>
        <w:rPr>
          <w:rFonts w:ascii="Times New Roman" w:eastAsia="SimSun" w:hAnsi="Times New Roman" w:cs="Times New Roman"/>
          <w:sz w:val="24"/>
          <w:szCs w:val="24"/>
        </w:rPr>
      </w:pPr>
      <w:r w:rsidRPr="0016336E">
        <w:rPr>
          <w:rFonts w:ascii="Times New Roman" w:eastAsia="SimSun" w:hAnsi="Times New Roman" w:cs="Times New Roman" w:hint="eastAsia"/>
          <w:sz w:val="24"/>
          <w:szCs w:val="24"/>
        </w:rPr>
        <w:t>Cytological examination of the pleural effusion:</w:t>
      </w:r>
      <w:r>
        <w:rPr>
          <w:rFonts w:ascii="Times New Roman" w:eastAsia="SimSun" w:hAnsi="Times New Roman" w:cs="Times New Roman" w:hint="eastAsia"/>
          <w:sz w:val="24"/>
          <w:szCs w:val="24"/>
        </w:rPr>
        <w:t xml:space="preserve"> </w:t>
      </w:r>
      <w:r w:rsidR="00F217C4" w:rsidRPr="00F217C4">
        <w:rPr>
          <w:rFonts w:ascii="Times New Roman" w:eastAsia="SimSun" w:hAnsi="Times New Roman" w:cs="Times New Roman" w:hint="eastAsia"/>
          <w:sz w:val="24"/>
          <w:szCs w:val="24"/>
        </w:rPr>
        <w:t>Epithelioid cells arranged in nests with crowded architecture. The tumor cells showed abundant, slightly basophilic cytoplasm, a high nuclear-to-cytoplasmic ratio, enlarged pleomorphic nuclei with irregular nuclear membranes, and small nucleoli; focal signet-ring</w:t>
      </w:r>
      <w:r w:rsidR="00F217C4" w:rsidRPr="00F217C4">
        <w:rPr>
          <w:rFonts w:ascii="Times New Roman" w:eastAsia="SimSun" w:hAnsi="Times New Roman" w:cs="Times New Roman" w:hint="eastAsia"/>
          <w:sz w:val="24"/>
          <w:szCs w:val="24"/>
        </w:rPr>
        <w:t>–</w:t>
      </w:r>
      <w:r w:rsidR="00F217C4" w:rsidRPr="00F217C4">
        <w:rPr>
          <w:rFonts w:ascii="Times New Roman" w:eastAsia="SimSun" w:hAnsi="Times New Roman" w:cs="Times New Roman" w:hint="eastAsia"/>
          <w:sz w:val="24"/>
          <w:szCs w:val="24"/>
        </w:rPr>
        <w:t xml:space="preserve">like features were also present. Immunohistochemical staining demonstrated positivity for Claudin-4, BerEP4, CK7, CEA, CDX-2, and SATB2 (weak), with focal positivity for CK20. BAP1 expression was </w:t>
      </w:r>
      <w:r w:rsidR="00F217C4" w:rsidRPr="00F217C4">
        <w:rPr>
          <w:rFonts w:ascii="Times New Roman" w:eastAsia="SimSun" w:hAnsi="Times New Roman" w:cs="Times New Roman" w:hint="eastAsia"/>
          <w:sz w:val="24"/>
          <w:szCs w:val="24"/>
        </w:rPr>
        <w:lastRenderedPageBreak/>
        <w:t>retained. WT-1, CK5/6, and CR highlighted mesothelial cells. P53 showed heterogeneous expression in approximately 30% of tumor cells, and scattered P16-positive tumor cells were observed. Background histiocytes were positive for CD68 and CD163. Tumor cells were negative for TTF-1, Napsin A, PAX8, and GATA3</w:t>
      </w:r>
      <w:r w:rsidR="0004429C" w:rsidRPr="009E1A93">
        <w:rPr>
          <w:rFonts w:ascii="Times New Roman" w:eastAsia="SimSun" w:hAnsi="Times New Roman" w:cs="Times New Roman" w:hint="eastAsia"/>
          <w:sz w:val="24"/>
          <w:szCs w:val="24"/>
        </w:rPr>
        <w:t>(A)</w:t>
      </w:r>
      <w:r w:rsidR="00F217C4">
        <w:rPr>
          <w:rFonts w:ascii="Times New Roman" w:eastAsia="SimSun" w:hAnsi="Times New Roman" w:cs="Times New Roman" w:hint="eastAsia"/>
          <w:sz w:val="24"/>
          <w:szCs w:val="24"/>
        </w:rPr>
        <w:t>(B)</w:t>
      </w:r>
      <w:r w:rsidR="0004429C" w:rsidRPr="009E1A93">
        <w:rPr>
          <w:rFonts w:ascii="Times New Roman" w:eastAsia="SimSun" w:hAnsi="Times New Roman" w:cs="Times New Roman" w:hint="eastAsia"/>
          <w:sz w:val="24"/>
          <w:szCs w:val="24"/>
        </w:rPr>
        <w:t xml:space="preserve">. </w:t>
      </w:r>
      <w:r>
        <w:rPr>
          <w:rFonts w:ascii="Times New Roman" w:hAnsi="Times New Roman" w:cs="Times New Roman" w:hint="eastAsia"/>
          <w:sz w:val="24"/>
        </w:rPr>
        <w:t>Gastrointestinal endoscopy:</w:t>
      </w:r>
      <w:r w:rsidRPr="00F217C4">
        <w:rPr>
          <w:rFonts w:ascii="Times New Roman" w:eastAsia="SimSun" w:hAnsi="Times New Roman" w:cs="Times New Roman" w:hint="eastAsia"/>
          <w:sz w:val="24"/>
          <w:szCs w:val="24"/>
        </w:rPr>
        <w:t xml:space="preserve"> </w:t>
      </w:r>
      <w:r w:rsidR="00F217C4" w:rsidRPr="00F217C4">
        <w:rPr>
          <w:rFonts w:ascii="Times New Roman" w:eastAsia="SimSun" w:hAnsi="Times New Roman" w:cs="Times New Roman" w:hint="eastAsia"/>
          <w:sz w:val="24"/>
          <w:szCs w:val="24"/>
        </w:rPr>
        <w:t>Biopsy of the gastric corpus</w:t>
      </w:r>
      <w:r>
        <w:rPr>
          <w:rFonts w:ascii="Times New Roman" w:eastAsia="SimSun" w:hAnsi="Times New Roman" w:cs="Times New Roman" w:hint="eastAsia"/>
          <w:sz w:val="24"/>
          <w:szCs w:val="24"/>
        </w:rPr>
        <w:t xml:space="preserve"> </w:t>
      </w:r>
      <w:r w:rsidR="00F217C4" w:rsidRPr="00F217C4">
        <w:rPr>
          <w:rFonts w:ascii="Times New Roman" w:eastAsia="SimSun" w:hAnsi="Times New Roman" w:cs="Times New Roman" w:hint="eastAsia"/>
          <w:sz w:val="24"/>
          <w:szCs w:val="24"/>
        </w:rPr>
        <w:t>revealed poorly differentiated adenocarcinoma. Immunohistochemistry showed negativity for Claudin 18.2, equivocal HER2 (2+) expression, and preserved mismatch repair protein expression, including MLH1 (approximately 95% positive), MSH2 (approximately 90% positive), MSH6 (approximately 90% positive), and PMS2 (approximately 80%, moderate to strong positive)</w:t>
      </w:r>
      <w:r w:rsidR="0004429C" w:rsidRPr="009E1A93">
        <w:rPr>
          <w:rFonts w:ascii="Times New Roman" w:eastAsia="SimSun" w:hAnsi="Times New Roman" w:cs="Times New Roman" w:hint="eastAsia"/>
          <w:sz w:val="24"/>
          <w:szCs w:val="24"/>
        </w:rPr>
        <w:t>(C)</w:t>
      </w:r>
      <w:r w:rsidR="00F217C4">
        <w:rPr>
          <w:rFonts w:ascii="Times New Roman" w:eastAsia="SimSun" w:hAnsi="Times New Roman" w:cs="Times New Roman" w:hint="eastAsia"/>
          <w:sz w:val="24"/>
          <w:szCs w:val="24"/>
        </w:rPr>
        <w:t>(D)</w:t>
      </w:r>
      <w:r>
        <w:rPr>
          <w:rFonts w:ascii="Times New Roman" w:eastAsia="SimSun" w:hAnsi="Times New Roman" w:cs="Times New Roman" w:hint="eastAsia"/>
          <w:sz w:val="24"/>
          <w:szCs w:val="24"/>
        </w:rPr>
        <w:t>(E)</w:t>
      </w:r>
      <w:r w:rsidR="00F217C4">
        <w:rPr>
          <w:rFonts w:ascii="Times New Roman" w:eastAsia="SimSun" w:hAnsi="Times New Roman" w:cs="Times New Roman" w:hint="eastAsia"/>
          <w:sz w:val="24"/>
          <w:szCs w:val="24"/>
        </w:rPr>
        <w:t>.</w:t>
      </w:r>
      <w:r w:rsidR="0004429C" w:rsidRPr="009E1A93">
        <w:rPr>
          <w:rFonts w:ascii="Times New Roman" w:eastAsia="SimSun" w:hAnsi="Times New Roman" w:cs="Times New Roman" w:hint="eastAsia"/>
          <w:sz w:val="24"/>
          <w:szCs w:val="24"/>
        </w:rPr>
        <w:t xml:space="preserve"> </w:t>
      </w:r>
      <w:bookmarkEnd w:id="7"/>
    </w:p>
    <w:p w14:paraId="1CDC1E09" w14:textId="30C4687A" w:rsidR="00AC042A" w:rsidRDefault="00AC042A" w:rsidP="00B9478C">
      <w:pPr>
        <w:rPr>
          <w:rFonts w:ascii="Times New Roman" w:eastAsia="SimSun" w:hAnsi="Times New Roman" w:cs="Times New Roman"/>
          <w:noProof/>
          <w:sz w:val="18"/>
          <w:szCs w:val="18"/>
        </w:rPr>
      </w:pPr>
    </w:p>
    <w:p w14:paraId="2E0737EE" w14:textId="27010C8D" w:rsidR="00F217C4" w:rsidRPr="009E1A93" w:rsidRDefault="00F217C4" w:rsidP="00F217C4">
      <w:pPr>
        <w:pStyle w:val="Caption"/>
        <w:rPr>
          <w:rFonts w:ascii="Times New Roman" w:eastAsia="SimSun" w:hAnsi="Times New Roman" w:cs="Times New Roman"/>
          <w:sz w:val="24"/>
          <w:szCs w:val="24"/>
        </w:rPr>
      </w:pPr>
      <w:r w:rsidRPr="009E1A93">
        <w:rPr>
          <w:rFonts w:ascii="Times New Roman" w:eastAsia="SimSun" w:hAnsi="Times New Roman" w:cs="Times New Roman" w:hint="eastAsia"/>
          <w:sz w:val="24"/>
          <w:szCs w:val="24"/>
        </w:rPr>
        <w:t xml:space="preserve">Figure </w:t>
      </w:r>
      <w:r>
        <w:rPr>
          <w:rFonts w:ascii="Times New Roman" w:eastAsia="SimSun" w:hAnsi="Times New Roman" w:cs="Times New Roman" w:hint="eastAsia"/>
          <w:sz w:val="24"/>
          <w:szCs w:val="24"/>
        </w:rPr>
        <w:t>3</w:t>
      </w:r>
      <w:r w:rsidRPr="009E1A93">
        <w:rPr>
          <w:rFonts w:ascii="Times New Roman" w:eastAsia="SimSun" w:hAnsi="Times New Roman" w:cs="Times New Roman" w:hint="eastAsia"/>
          <w:sz w:val="24"/>
          <w:szCs w:val="24"/>
        </w:rPr>
        <w:t xml:space="preserve"> </w:t>
      </w:r>
    </w:p>
    <w:p w14:paraId="65F97A5A" w14:textId="4976D098" w:rsidR="00F217C4" w:rsidRPr="009E1A93" w:rsidRDefault="0016336E" w:rsidP="00F217C4">
      <w:pPr>
        <w:rPr>
          <w:rFonts w:ascii="Times New Roman" w:eastAsia="SimSun" w:hAnsi="Times New Roman" w:cs="Times New Roman"/>
          <w:sz w:val="24"/>
          <w:szCs w:val="24"/>
        </w:rPr>
      </w:pPr>
      <w:r w:rsidRPr="0016336E">
        <w:rPr>
          <w:rFonts w:ascii="Times New Roman" w:eastAsia="SimSun" w:hAnsi="Times New Roman" w:cs="Times New Roman" w:hint="eastAsia"/>
          <w:sz w:val="24"/>
          <w:szCs w:val="24"/>
        </w:rPr>
        <w:t>A round-shaped lesion with mixed cystic</w:t>
      </w:r>
      <w:r w:rsidRPr="0016336E">
        <w:rPr>
          <w:rFonts w:ascii="Times New Roman" w:eastAsia="SimSun" w:hAnsi="Times New Roman" w:cs="Times New Roman" w:hint="eastAsia"/>
          <w:sz w:val="24"/>
          <w:szCs w:val="24"/>
        </w:rPr>
        <w:t>–</w:t>
      </w:r>
      <w:r w:rsidRPr="0016336E">
        <w:rPr>
          <w:rFonts w:ascii="Times New Roman" w:eastAsia="SimSun" w:hAnsi="Times New Roman" w:cs="Times New Roman" w:hint="eastAsia"/>
          <w:sz w:val="24"/>
          <w:szCs w:val="24"/>
        </w:rPr>
        <w:t xml:space="preserve">solid components was identified in the left adnexal region, measuring 2.3 </w:t>
      </w:r>
      <w:r w:rsidRPr="0016336E">
        <w:rPr>
          <w:rFonts w:ascii="Times New Roman" w:eastAsia="SimSun" w:hAnsi="Times New Roman" w:cs="Times New Roman" w:hint="eastAsia"/>
          <w:sz w:val="24"/>
          <w:szCs w:val="24"/>
        </w:rPr>
        <w:t>×</w:t>
      </w:r>
      <w:r w:rsidRPr="0016336E">
        <w:rPr>
          <w:rFonts w:ascii="Times New Roman" w:eastAsia="SimSun" w:hAnsi="Times New Roman" w:cs="Times New Roman" w:hint="eastAsia"/>
          <w:sz w:val="24"/>
          <w:szCs w:val="24"/>
        </w:rPr>
        <w:t xml:space="preserve"> 1.8 </w:t>
      </w:r>
      <w:r w:rsidRPr="0016336E">
        <w:rPr>
          <w:rFonts w:ascii="Times New Roman" w:eastAsia="SimSun" w:hAnsi="Times New Roman" w:cs="Times New Roman" w:hint="eastAsia"/>
          <w:sz w:val="24"/>
          <w:szCs w:val="24"/>
        </w:rPr>
        <w:t>×</w:t>
      </w:r>
      <w:r w:rsidRPr="0016336E">
        <w:rPr>
          <w:rFonts w:ascii="Times New Roman" w:eastAsia="SimSun" w:hAnsi="Times New Roman" w:cs="Times New Roman" w:hint="eastAsia"/>
          <w:sz w:val="24"/>
          <w:szCs w:val="24"/>
        </w:rPr>
        <w:t xml:space="preserve"> 1.9 cm, with partially well-defined and partially indistinct margins. The lesion demonstrated iso-intensity on T1-weighted imaging (T1WI), slightly hyperintense signal on T2-weighted imaging (T2WI), and heterogeneous mildly hyperintense signal on diffusion-weighted imaging (DWI). Contrast-enhanced imaging showed marked enhancement of the solid component</w:t>
      </w:r>
      <w:r w:rsidR="00F217C4" w:rsidRPr="009E1A93">
        <w:rPr>
          <w:rFonts w:ascii="Times New Roman" w:eastAsia="SimSun" w:hAnsi="Times New Roman" w:cs="Times New Roman" w:hint="eastAsia"/>
          <w:sz w:val="24"/>
          <w:szCs w:val="24"/>
        </w:rPr>
        <w:t xml:space="preserve">(A). </w:t>
      </w:r>
      <w:r w:rsidRPr="0016336E">
        <w:rPr>
          <w:rFonts w:ascii="Times New Roman" w:eastAsia="SimSun" w:hAnsi="Times New Roman" w:cs="Times New Roman" w:hint="eastAsia"/>
          <w:sz w:val="24"/>
          <w:szCs w:val="24"/>
        </w:rPr>
        <w:t>Diffuse peritoneal thickening with marked enhancement was noted, along with omental thickening and flocculent areas of mildly hyperintense signal on T2WI</w:t>
      </w:r>
      <w:r w:rsidR="00F217C4" w:rsidRPr="009E1A93">
        <w:rPr>
          <w:rFonts w:ascii="Times New Roman" w:eastAsia="SimSun" w:hAnsi="Times New Roman" w:cs="Times New Roman" w:hint="eastAsia"/>
          <w:sz w:val="24"/>
          <w:szCs w:val="24"/>
        </w:rPr>
        <w:t>(B).</w:t>
      </w:r>
      <w:r w:rsidR="00F217C4" w:rsidRPr="00F217C4">
        <w:rPr>
          <w:rFonts w:ascii="Times New Roman" w:eastAsia="SimSun" w:hAnsi="Times New Roman" w:cs="Times New Roman" w:hint="eastAsia"/>
          <w:sz w:val="24"/>
          <w:szCs w:val="24"/>
        </w:rPr>
        <w:t xml:space="preserve"> </w:t>
      </w:r>
    </w:p>
    <w:p w14:paraId="4D541E8F" w14:textId="6E4B32B8" w:rsidR="00EE3BEA" w:rsidRPr="009E1A93" w:rsidRDefault="00EE3BEA" w:rsidP="00B9478C">
      <w:pPr>
        <w:pStyle w:val="Caption"/>
        <w:rPr>
          <w:rFonts w:ascii="Times New Roman" w:eastAsia="SimSun" w:hAnsi="Times New Roman" w:cs="Times New Roman"/>
          <w:sz w:val="24"/>
          <w:szCs w:val="24"/>
        </w:rPr>
      </w:pPr>
    </w:p>
    <w:sectPr w:rsidR="00EE3BEA" w:rsidRPr="009E1A93" w:rsidSect="007A51EE">
      <w:headerReference w:type="default" r:id="rId8"/>
      <w:pgSz w:w="11906" w:h="16838"/>
      <w:pgMar w:top="1701" w:right="1701" w:bottom="1701" w:left="1701"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B9B1" w14:textId="77777777" w:rsidR="00434B95" w:rsidRDefault="00434B95" w:rsidP="00E47DA3">
      <w:r>
        <w:separator/>
      </w:r>
    </w:p>
  </w:endnote>
  <w:endnote w:type="continuationSeparator" w:id="0">
    <w:p w14:paraId="05799B1E" w14:textId="77777777" w:rsidR="00434B95" w:rsidRDefault="00434B95" w:rsidP="00E4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6054" w14:textId="77777777" w:rsidR="00434B95" w:rsidRDefault="00434B95" w:rsidP="00E47DA3">
      <w:r>
        <w:separator/>
      </w:r>
    </w:p>
  </w:footnote>
  <w:footnote w:type="continuationSeparator" w:id="0">
    <w:p w14:paraId="6934235D" w14:textId="77777777" w:rsidR="00434B95" w:rsidRDefault="00434B95" w:rsidP="00E4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03463"/>
      <w:docPartObj>
        <w:docPartGallery w:val="Page Numbers (Top of Page)"/>
        <w:docPartUnique/>
      </w:docPartObj>
    </w:sdtPr>
    <w:sdtContent>
      <w:p w14:paraId="00D72298" w14:textId="75562D7B" w:rsidR="00272D57" w:rsidRDefault="00272D57">
        <w:pPr>
          <w:pStyle w:val="Header"/>
          <w:jc w:val="right"/>
        </w:pPr>
        <w:r>
          <w:fldChar w:fldCharType="begin"/>
        </w:r>
        <w:r>
          <w:instrText>PAGE   \* MERGEFORMAT</w:instrText>
        </w:r>
        <w:r>
          <w:fldChar w:fldCharType="separate"/>
        </w:r>
        <w:r w:rsidRPr="005D542B">
          <w:t>2</w:t>
        </w:r>
        <w:r>
          <w:fldChar w:fldCharType="end"/>
        </w:r>
      </w:p>
    </w:sdtContent>
  </w:sdt>
  <w:p w14:paraId="6B86DF6D" w14:textId="1CA165A0" w:rsidR="00C33E99" w:rsidRPr="00C33E99" w:rsidRDefault="004C0984" w:rsidP="004C0984">
    <w:pPr>
      <w:widowControl/>
      <w:spacing w:line="240" w:lineRule="atLeast"/>
      <w:jc w:val="left"/>
      <w:rPr>
        <w:rFonts w:ascii="Times New Roman" w:eastAsia="SimSun" w:hAnsi="Times New Roman" w:cs="Times New Roman"/>
        <w:sz w:val="24"/>
        <w:szCs w:val="24"/>
      </w:rPr>
    </w:pPr>
    <w:r w:rsidRPr="004C0984">
      <w:rPr>
        <w:rFonts w:ascii="Times New Roman" w:eastAsia="SimSun" w:hAnsi="Times New Roman" w:cs="Times New Roman"/>
        <w:sz w:val="24"/>
        <w:szCs w:val="24"/>
      </w:rPr>
      <w:t>MDT FOR KRUKENBERG TUMOR WITH PLEURAL EFFUSION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C1A8A"/>
    <w:multiLevelType w:val="multilevel"/>
    <w:tmpl w:val="C80CF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21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0A"/>
    <w:rsid w:val="00000113"/>
    <w:rsid w:val="00003FED"/>
    <w:rsid w:val="00004EC5"/>
    <w:rsid w:val="000079DC"/>
    <w:rsid w:val="00007D8D"/>
    <w:rsid w:val="000107E2"/>
    <w:rsid w:val="00015B92"/>
    <w:rsid w:val="00016967"/>
    <w:rsid w:val="0001720A"/>
    <w:rsid w:val="00021DCA"/>
    <w:rsid w:val="000232E4"/>
    <w:rsid w:val="000247A3"/>
    <w:rsid w:val="0002485D"/>
    <w:rsid w:val="00027296"/>
    <w:rsid w:val="00030690"/>
    <w:rsid w:val="000310C0"/>
    <w:rsid w:val="00032A9A"/>
    <w:rsid w:val="000333E5"/>
    <w:rsid w:val="00034C8B"/>
    <w:rsid w:val="00035B00"/>
    <w:rsid w:val="00040387"/>
    <w:rsid w:val="0004039C"/>
    <w:rsid w:val="00041773"/>
    <w:rsid w:val="0004350D"/>
    <w:rsid w:val="0004429C"/>
    <w:rsid w:val="000447C2"/>
    <w:rsid w:val="00044D83"/>
    <w:rsid w:val="00045026"/>
    <w:rsid w:val="0004663C"/>
    <w:rsid w:val="000471D2"/>
    <w:rsid w:val="00047832"/>
    <w:rsid w:val="00047A15"/>
    <w:rsid w:val="00052AE3"/>
    <w:rsid w:val="00054FA3"/>
    <w:rsid w:val="00055E15"/>
    <w:rsid w:val="00057563"/>
    <w:rsid w:val="00060C0C"/>
    <w:rsid w:val="00060F36"/>
    <w:rsid w:val="0006131B"/>
    <w:rsid w:val="00063356"/>
    <w:rsid w:val="0006456A"/>
    <w:rsid w:val="00066B4B"/>
    <w:rsid w:val="00067130"/>
    <w:rsid w:val="00075F55"/>
    <w:rsid w:val="000766F2"/>
    <w:rsid w:val="00077C07"/>
    <w:rsid w:val="00080BA9"/>
    <w:rsid w:val="00083022"/>
    <w:rsid w:val="00083EDA"/>
    <w:rsid w:val="00084197"/>
    <w:rsid w:val="00085552"/>
    <w:rsid w:val="00085BCD"/>
    <w:rsid w:val="000929C1"/>
    <w:rsid w:val="00093282"/>
    <w:rsid w:val="00093476"/>
    <w:rsid w:val="0009593B"/>
    <w:rsid w:val="00096EFF"/>
    <w:rsid w:val="0009700C"/>
    <w:rsid w:val="0009795E"/>
    <w:rsid w:val="000A0D18"/>
    <w:rsid w:val="000A472C"/>
    <w:rsid w:val="000A487E"/>
    <w:rsid w:val="000A54A7"/>
    <w:rsid w:val="000A7E0B"/>
    <w:rsid w:val="000B31D1"/>
    <w:rsid w:val="000B5B4F"/>
    <w:rsid w:val="000B7504"/>
    <w:rsid w:val="000C0BAE"/>
    <w:rsid w:val="000D17C3"/>
    <w:rsid w:val="000D27EC"/>
    <w:rsid w:val="000D2979"/>
    <w:rsid w:val="000D3E43"/>
    <w:rsid w:val="000D6E98"/>
    <w:rsid w:val="000D75C1"/>
    <w:rsid w:val="000E0F3B"/>
    <w:rsid w:val="000E22EB"/>
    <w:rsid w:val="000E43AC"/>
    <w:rsid w:val="000E5203"/>
    <w:rsid w:val="000E593B"/>
    <w:rsid w:val="000F775A"/>
    <w:rsid w:val="001008D8"/>
    <w:rsid w:val="001042B5"/>
    <w:rsid w:val="001052EA"/>
    <w:rsid w:val="0010559F"/>
    <w:rsid w:val="00105980"/>
    <w:rsid w:val="001067AF"/>
    <w:rsid w:val="00106F22"/>
    <w:rsid w:val="00112B93"/>
    <w:rsid w:val="00117DCF"/>
    <w:rsid w:val="00120AFD"/>
    <w:rsid w:val="00124E72"/>
    <w:rsid w:val="0012506A"/>
    <w:rsid w:val="00125CC2"/>
    <w:rsid w:val="0013382B"/>
    <w:rsid w:val="00136B08"/>
    <w:rsid w:val="00136EE3"/>
    <w:rsid w:val="00140E16"/>
    <w:rsid w:val="0014139C"/>
    <w:rsid w:val="001418B6"/>
    <w:rsid w:val="00141FB0"/>
    <w:rsid w:val="001447CD"/>
    <w:rsid w:val="001451B5"/>
    <w:rsid w:val="001522A8"/>
    <w:rsid w:val="00156261"/>
    <w:rsid w:val="0015750C"/>
    <w:rsid w:val="00162B46"/>
    <w:rsid w:val="00162FD0"/>
    <w:rsid w:val="0016336E"/>
    <w:rsid w:val="00166516"/>
    <w:rsid w:val="001669A1"/>
    <w:rsid w:val="00166EAF"/>
    <w:rsid w:val="00166ECC"/>
    <w:rsid w:val="00170EA0"/>
    <w:rsid w:val="00172474"/>
    <w:rsid w:val="00172A9A"/>
    <w:rsid w:val="0017373D"/>
    <w:rsid w:val="00173AD0"/>
    <w:rsid w:val="00174CFE"/>
    <w:rsid w:val="001762DF"/>
    <w:rsid w:val="00180023"/>
    <w:rsid w:val="001839CC"/>
    <w:rsid w:val="00190A44"/>
    <w:rsid w:val="001922DC"/>
    <w:rsid w:val="00195695"/>
    <w:rsid w:val="00197625"/>
    <w:rsid w:val="00197BBF"/>
    <w:rsid w:val="001A036C"/>
    <w:rsid w:val="001A35DB"/>
    <w:rsid w:val="001A49B7"/>
    <w:rsid w:val="001A6559"/>
    <w:rsid w:val="001B213A"/>
    <w:rsid w:val="001B24D8"/>
    <w:rsid w:val="001B4199"/>
    <w:rsid w:val="001C0A09"/>
    <w:rsid w:val="001C1437"/>
    <w:rsid w:val="001C49C2"/>
    <w:rsid w:val="001C5369"/>
    <w:rsid w:val="001D04F1"/>
    <w:rsid w:val="001D2392"/>
    <w:rsid w:val="001D2757"/>
    <w:rsid w:val="001D4688"/>
    <w:rsid w:val="001D4791"/>
    <w:rsid w:val="001D7BAB"/>
    <w:rsid w:val="001E4A26"/>
    <w:rsid w:val="001E53E8"/>
    <w:rsid w:val="001F4132"/>
    <w:rsid w:val="001F5473"/>
    <w:rsid w:val="001F632E"/>
    <w:rsid w:val="00204552"/>
    <w:rsid w:val="00207339"/>
    <w:rsid w:val="00207EA3"/>
    <w:rsid w:val="002151FE"/>
    <w:rsid w:val="00215254"/>
    <w:rsid w:val="00216D31"/>
    <w:rsid w:val="00216FA0"/>
    <w:rsid w:val="00220051"/>
    <w:rsid w:val="00220BAA"/>
    <w:rsid w:val="00224099"/>
    <w:rsid w:val="002264C6"/>
    <w:rsid w:val="00227114"/>
    <w:rsid w:val="002305C0"/>
    <w:rsid w:val="002331BD"/>
    <w:rsid w:val="00233E56"/>
    <w:rsid w:val="00242412"/>
    <w:rsid w:val="00242F70"/>
    <w:rsid w:val="0024400C"/>
    <w:rsid w:val="002454D1"/>
    <w:rsid w:val="00247F55"/>
    <w:rsid w:val="0025076E"/>
    <w:rsid w:val="00253F58"/>
    <w:rsid w:val="00254170"/>
    <w:rsid w:val="00255526"/>
    <w:rsid w:val="002556F7"/>
    <w:rsid w:val="00262549"/>
    <w:rsid w:val="00266309"/>
    <w:rsid w:val="002716D2"/>
    <w:rsid w:val="00272D57"/>
    <w:rsid w:val="00272F70"/>
    <w:rsid w:val="00274D35"/>
    <w:rsid w:val="00281C2F"/>
    <w:rsid w:val="0028277E"/>
    <w:rsid w:val="00282A6A"/>
    <w:rsid w:val="00282B1C"/>
    <w:rsid w:val="002830C7"/>
    <w:rsid w:val="00284AF9"/>
    <w:rsid w:val="002875A6"/>
    <w:rsid w:val="00292A67"/>
    <w:rsid w:val="00296814"/>
    <w:rsid w:val="00297FE1"/>
    <w:rsid w:val="002A4002"/>
    <w:rsid w:val="002A45A9"/>
    <w:rsid w:val="002A49F8"/>
    <w:rsid w:val="002A4EC3"/>
    <w:rsid w:val="002A7537"/>
    <w:rsid w:val="002A7F20"/>
    <w:rsid w:val="002B65D8"/>
    <w:rsid w:val="002B7083"/>
    <w:rsid w:val="002C1803"/>
    <w:rsid w:val="002C198B"/>
    <w:rsid w:val="002C2FE6"/>
    <w:rsid w:val="002C34C2"/>
    <w:rsid w:val="002C3A0A"/>
    <w:rsid w:val="002C6E7A"/>
    <w:rsid w:val="002D1D0F"/>
    <w:rsid w:val="002D41B6"/>
    <w:rsid w:val="002E05B5"/>
    <w:rsid w:val="002E0DCA"/>
    <w:rsid w:val="002F1254"/>
    <w:rsid w:val="002F42B0"/>
    <w:rsid w:val="002F60E5"/>
    <w:rsid w:val="003001DC"/>
    <w:rsid w:val="00303D21"/>
    <w:rsid w:val="00304170"/>
    <w:rsid w:val="003122C2"/>
    <w:rsid w:val="00312503"/>
    <w:rsid w:val="003147B8"/>
    <w:rsid w:val="00315E53"/>
    <w:rsid w:val="00316224"/>
    <w:rsid w:val="00321EE8"/>
    <w:rsid w:val="00322A5A"/>
    <w:rsid w:val="00330412"/>
    <w:rsid w:val="00330B86"/>
    <w:rsid w:val="00330F10"/>
    <w:rsid w:val="00332AD3"/>
    <w:rsid w:val="00332F33"/>
    <w:rsid w:val="003349E2"/>
    <w:rsid w:val="00334EA2"/>
    <w:rsid w:val="00337812"/>
    <w:rsid w:val="003412A6"/>
    <w:rsid w:val="00341717"/>
    <w:rsid w:val="003422C5"/>
    <w:rsid w:val="00344B17"/>
    <w:rsid w:val="003526C8"/>
    <w:rsid w:val="0035370F"/>
    <w:rsid w:val="0035484D"/>
    <w:rsid w:val="00356C1E"/>
    <w:rsid w:val="00360A6C"/>
    <w:rsid w:val="00361AAC"/>
    <w:rsid w:val="00361F22"/>
    <w:rsid w:val="0036330B"/>
    <w:rsid w:val="00366FA5"/>
    <w:rsid w:val="00375FD7"/>
    <w:rsid w:val="0037735B"/>
    <w:rsid w:val="003777D7"/>
    <w:rsid w:val="003803F8"/>
    <w:rsid w:val="00381AD2"/>
    <w:rsid w:val="00381D76"/>
    <w:rsid w:val="00382558"/>
    <w:rsid w:val="00386183"/>
    <w:rsid w:val="00387183"/>
    <w:rsid w:val="00390B60"/>
    <w:rsid w:val="00392AD3"/>
    <w:rsid w:val="00392AF3"/>
    <w:rsid w:val="003934D2"/>
    <w:rsid w:val="0039450A"/>
    <w:rsid w:val="00395757"/>
    <w:rsid w:val="00396759"/>
    <w:rsid w:val="003973CF"/>
    <w:rsid w:val="003A01CE"/>
    <w:rsid w:val="003A02E0"/>
    <w:rsid w:val="003A60AD"/>
    <w:rsid w:val="003A6510"/>
    <w:rsid w:val="003B3618"/>
    <w:rsid w:val="003B371D"/>
    <w:rsid w:val="003C1495"/>
    <w:rsid w:val="003C28CA"/>
    <w:rsid w:val="003C4042"/>
    <w:rsid w:val="003C7BD8"/>
    <w:rsid w:val="003D161A"/>
    <w:rsid w:val="003E3F82"/>
    <w:rsid w:val="003E4584"/>
    <w:rsid w:val="003E4916"/>
    <w:rsid w:val="003E6368"/>
    <w:rsid w:val="003E7628"/>
    <w:rsid w:val="003F5196"/>
    <w:rsid w:val="003F5EB5"/>
    <w:rsid w:val="003F745E"/>
    <w:rsid w:val="003F7A82"/>
    <w:rsid w:val="004001E1"/>
    <w:rsid w:val="00405D23"/>
    <w:rsid w:val="00405E0E"/>
    <w:rsid w:val="004068C0"/>
    <w:rsid w:val="00413DFE"/>
    <w:rsid w:val="00414E38"/>
    <w:rsid w:val="004179E9"/>
    <w:rsid w:val="00425160"/>
    <w:rsid w:val="00427E04"/>
    <w:rsid w:val="00431E74"/>
    <w:rsid w:val="00433091"/>
    <w:rsid w:val="00433793"/>
    <w:rsid w:val="00434496"/>
    <w:rsid w:val="00434B95"/>
    <w:rsid w:val="004359D9"/>
    <w:rsid w:val="004413B1"/>
    <w:rsid w:val="004432DB"/>
    <w:rsid w:val="00443866"/>
    <w:rsid w:val="00443FC8"/>
    <w:rsid w:val="00446A62"/>
    <w:rsid w:val="00446C64"/>
    <w:rsid w:val="004470C4"/>
    <w:rsid w:val="00447DD9"/>
    <w:rsid w:val="0045311D"/>
    <w:rsid w:val="00453A7A"/>
    <w:rsid w:val="0045687E"/>
    <w:rsid w:val="00456ED3"/>
    <w:rsid w:val="004646AF"/>
    <w:rsid w:val="004649DA"/>
    <w:rsid w:val="004655BA"/>
    <w:rsid w:val="004664C2"/>
    <w:rsid w:val="00467760"/>
    <w:rsid w:val="00471E77"/>
    <w:rsid w:val="00473445"/>
    <w:rsid w:val="00477C22"/>
    <w:rsid w:val="00480E22"/>
    <w:rsid w:val="004816C5"/>
    <w:rsid w:val="00481F1D"/>
    <w:rsid w:val="004841C1"/>
    <w:rsid w:val="00485E2B"/>
    <w:rsid w:val="00485F74"/>
    <w:rsid w:val="004878D3"/>
    <w:rsid w:val="00492D87"/>
    <w:rsid w:val="00493255"/>
    <w:rsid w:val="00493A78"/>
    <w:rsid w:val="00497182"/>
    <w:rsid w:val="00497942"/>
    <w:rsid w:val="00497AB9"/>
    <w:rsid w:val="004A0777"/>
    <w:rsid w:val="004A2F6D"/>
    <w:rsid w:val="004A4B8C"/>
    <w:rsid w:val="004A5799"/>
    <w:rsid w:val="004A5845"/>
    <w:rsid w:val="004A70C2"/>
    <w:rsid w:val="004A7529"/>
    <w:rsid w:val="004B50E3"/>
    <w:rsid w:val="004B6F90"/>
    <w:rsid w:val="004B7C65"/>
    <w:rsid w:val="004C0984"/>
    <w:rsid w:val="004C0C8D"/>
    <w:rsid w:val="004C28A3"/>
    <w:rsid w:val="004C347E"/>
    <w:rsid w:val="004C46DE"/>
    <w:rsid w:val="004C522D"/>
    <w:rsid w:val="004C7770"/>
    <w:rsid w:val="004D0A10"/>
    <w:rsid w:val="004D2AE7"/>
    <w:rsid w:val="004D3878"/>
    <w:rsid w:val="004D3D64"/>
    <w:rsid w:val="004D6555"/>
    <w:rsid w:val="004D699E"/>
    <w:rsid w:val="004E022F"/>
    <w:rsid w:val="004E18BD"/>
    <w:rsid w:val="004E2118"/>
    <w:rsid w:val="004E2FF7"/>
    <w:rsid w:val="004E4CCD"/>
    <w:rsid w:val="004E5216"/>
    <w:rsid w:val="004F2A2B"/>
    <w:rsid w:val="004F3B12"/>
    <w:rsid w:val="004F40C8"/>
    <w:rsid w:val="004F424E"/>
    <w:rsid w:val="004F43D3"/>
    <w:rsid w:val="005008D3"/>
    <w:rsid w:val="005026AB"/>
    <w:rsid w:val="005052C2"/>
    <w:rsid w:val="00512883"/>
    <w:rsid w:val="00515148"/>
    <w:rsid w:val="005161B1"/>
    <w:rsid w:val="00516EB1"/>
    <w:rsid w:val="00517EFF"/>
    <w:rsid w:val="0052043C"/>
    <w:rsid w:val="0052323C"/>
    <w:rsid w:val="0052728A"/>
    <w:rsid w:val="00527A59"/>
    <w:rsid w:val="005302B5"/>
    <w:rsid w:val="005311AE"/>
    <w:rsid w:val="00531AAD"/>
    <w:rsid w:val="00533CB1"/>
    <w:rsid w:val="005347D3"/>
    <w:rsid w:val="00535068"/>
    <w:rsid w:val="00543CF7"/>
    <w:rsid w:val="0054453C"/>
    <w:rsid w:val="005452A3"/>
    <w:rsid w:val="0055027B"/>
    <w:rsid w:val="00552646"/>
    <w:rsid w:val="005538A5"/>
    <w:rsid w:val="00554D07"/>
    <w:rsid w:val="00557915"/>
    <w:rsid w:val="00560894"/>
    <w:rsid w:val="00561A36"/>
    <w:rsid w:val="005663A9"/>
    <w:rsid w:val="0057455E"/>
    <w:rsid w:val="00577B11"/>
    <w:rsid w:val="00583510"/>
    <w:rsid w:val="005849F3"/>
    <w:rsid w:val="00586D19"/>
    <w:rsid w:val="00587AFD"/>
    <w:rsid w:val="00590851"/>
    <w:rsid w:val="005A2592"/>
    <w:rsid w:val="005A6D5E"/>
    <w:rsid w:val="005A7B28"/>
    <w:rsid w:val="005B4C3A"/>
    <w:rsid w:val="005B54C8"/>
    <w:rsid w:val="005C21B3"/>
    <w:rsid w:val="005C244A"/>
    <w:rsid w:val="005C45EA"/>
    <w:rsid w:val="005C4C29"/>
    <w:rsid w:val="005C6A52"/>
    <w:rsid w:val="005D0854"/>
    <w:rsid w:val="005D1768"/>
    <w:rsid w:val="005D323B"/>
    <w:rsid w:val="005D3B42"/>
    <w:rsid w:val="005D542B"/>
    <w:rsid w:val="005E7272"/>
    <w:rsid w:val="005F1F1E"/>
    <w:rsid w:val="005F4A1D"/>
    <w:rsid w:val="005F62E6"/>
    <w:rsid w:val="005F7094"/>
    <w:rsid w:val="00601110"/>
    <w:rsid w:val="0060252B"/>
    <w:rsid w:val="00602DB8"/>
    <w:rsid w:val="006062F7"/>
    <w:rsid w:val="00606F5F"/>
    <w:rsid w:val="00612292"/>
    <w:rsid w:val="00614454"/>
    <w:rsid w:val="00614F4A"/>
    <w:rsid w:val="006153C5"/>
    <w:rsid w:val="006213E2"/>
    <w:rsid w:val="00621B2A"/>
    <w:rsid w:val="00622616"/>
    <w:rsid w:val="00623B09"/>
    <w:rsid w:val="00624DDB"/>
    <w:rsid w:val="0062684C"/>
    <w:rsid w:val="00630AC6"/>
    <w:rsid w:val="00634BC9"/>
    <w:rsid w:val="00636147"/>
    <w:rsid w:val="006367FA"/>
    <w:rsid w:val="00636A8E"/>
    <w:rsid w:val="006372DD"/>
    <w:rsid w:val="006378F0"/>
    <w:rsid w:val="00641570"/>
    <w:rsid w:val="00641BEC"/>
    <w:rsid w:val="006431DD"/>
    <w:rsid w:val="006431FC"/>
    <w:rsid w:val="0064365D"/>
    <w:rsid w:val="00643C58"/>
    <w:rsid w:val="00643D0F"/>
    <w:rsid w:val="0064579F"/>
    <w:rsid w:val="00645BCD"/>
    <w:rsid w:val="006460DE"/>
    <w:rsid w:val="00650D08"/>
    <w:rsid w:val="00656E71"/>
    <w:rsid w:val="00657613"/>
    <w:rsid w:val="00657B6B"/>
    <w:rsid w:val="00657D9B"/>
    <w:rsid w:val="00663D88"/>
    <w:rsid w:val="006679FD"/>
    <w:rsid w:val="00672250"/>
    <w:rsid w:val="00672FC6"/>
    <w:rsid w:val="00674679"/>
    <w:rsid w:val="0067550F"/>
    <w:rsid w:val="006819F2"/>
    <w:rsid w:val="00681DC1"/>
    <w:rsid w:val="0068417A"/>
    <w:rsid w:val="006845EF"/>
    <w:rsid w:val="006905A9"/>
    <w:rsid w:val="006935FB"/>
    <w:rsid w:val="00696D4A"/>
    <w:rsid w:val="006A7509"/>
    <w:rsid w:val="006B00DC"/>
    <w:rsid w:val="006B0461"/>
    <w:rsid w:val="006B2051"/>
    <w:rsid w:val="006B4D29"/>
    <w:rsid w:val="006B4D68"/>
    <w:rsid w:val="006B5816"/>
    <w:rsid w:val="006B73BE"/>
    <w:rsid w:val="006C115A"/>
    <w:rsid w:val="006C3A08"/>
    <w:rsid w:val="006C3D45"/>
    <w:rsid w:val="006C4750"/>
    <w:rsid w:val="006C592E"/>
    <w:rsid w:val="006C6A64"/>
    <w:rsid w:val="006D0529"/>
    <w:rsid w:val="006D3CBF"/>
    <w:rsid w:val="006D4A98"/>
    <w:rsid w:val="006E0D73"/>
    <w:rsid w:val="006E6DAE"/>
    <w:rsid w:val="006E702B"/>
    <w:rsid w:val="006E7592"/>
    <w:rsid w:val="006F101E"/>
    <w:rsid w:val="006F22FC"/>
    <w:rsid w:val="006F28B8"/>
    <w:rsid w:val="006F5C60"/>
    <w:rsid w:val="00701B61"/>
    <w:rsid w:val="007022A1"/>
    <w:rsid w:val="00703532"/>
    <w:rsid w:val="007036E2"/>
    <w:rsid w:val="00710236"/>
    <w:rsid w:val="00712E33"/>
    <w:rsid w:val="007152F1"/>
    <w:rsid w:val="0071631F"/>
    <w:rsid w:val="007205BA"/>
    <w:rsid w:val="00720C3E"/>
    <w:rsid w:val="00721A59"/>
    <w:rsid w:val="007229C1"/>
    <w:rsid w:val="0072412A"/>
    <w:rsid w:val="007328C1"/>
    <w:rsid w:val="00735513"/>
    <w:rsid w:val="0074117D"/>
    <w:rsid w:val="00741C7A"/>
    <w:rsid w:val="007442DF"/>
    <w:rsid w:val="00744BD6"/>
    <w:rsid w:val="007463DD"/>
    <w:rsid w:val="007466F6"/>
    <w:rsid w:val="00750DF4"/>
    <w:rsid w:val="00751731"/>
    <w:rsid w:val="00751A35"/>
    <w:rsid w:val="00752A17"/>
    <w:rsid w:val="00754529"/>
    <w:rsid w:val="007570DA"/>
    <w:rsid w:val="00760B86"/>
    <w:rsid w:val="00761F61"/>
    <w:rsid w:val="007653C9"/>
    <w:rsid w:val="007705C7"/>
    <w:rsid w:val="00772CD1"/>
    <w:rsid w:val="00772E71"/>
    <w:rsid w:val="00773DD8"/>
    <w:rsid w:val="0077455C"/>
    <w:rsid w:val="00781829"/>
    <w:rsid w:val="00781B8A"/>
    <w:rsid w:val="00782F0F"/>
    <w:rsid w:val="0078408D"/>
    <w:rsid w:val="00790FF6"/>
    <w:rsid w:val="007917AF"/>
    <w:rsid w:val="00792868"/>
    <w:rsid w:val="00792BB4"/>
    <w:rsid w:val="00793D3A"/>
    <w:rsid w:val="00794943"/>
    <w:rsid w:val="00796FBB"/>
    <w:rsid w:val="007A3732"/>
    <w:rsid w:val="007A375A"/>
    <w:rsid w:val="007A3D3E"/>
    <w:rsid w:val="007A451F"/>
    <w:rsid w:val="007A51EE"/>
    <w:rsid w:val="007A5E39"/>
    <w:rsid w:val="007A65AC"/>
    <w:rsid w:val="007A6ED8"/>
    <w:rsid w:val="007A7681"/>
    <w:rsid w:val="007B1013"/>
    <w:rsid w:val="007B10F8"/>
    <w:rsid w:val="007B17B4"/>
    <w:rsid w:val="007B1968"/>
    <w:rsid w:val="007B2B0F"/>
    <w:rsid w:val="007B45C7"/>
    <w:rsid w:val="007B59CB"/>
    <w:rsid w:val="007C781C"/>
    <w:rsid w:val="007D009E"/>
    <w:rsid w:val="007D07C0"/>
    <w:rsid w:val="007D1221"/>
    <w:rsid w:val="007D5718"/>
    <w:rsid w:val="007D65EF"/>
    <w:rsid w:val="007D6B43"/>
    <w:rsid w:val="007D70DF"/>
    <w:rsid w:val="007E33B4"/>
    <w:rsid w:val="007E3B05"/>
    <w:rsid w:val="007E52ED"/>
    <w:rsid w:val="007F34E2"/>
    <w:rsid w:val="007F3E5F"/>
    <w:rsid w:val="007F4162"/>
    <w:rsid w:val="007F41A1"/>
    <w:rsid w:val="007F568F"/>
    <w:rsid w:val="00802B53"/>
    <w:rsid w:val="008043C5"/>
    <w:rsid w:val="00806646"/>
    <w:rsid w:val="008068EA"/>
    <w:rsid w:val="00807A4E"/>
    <w:rsid w:val="00811473"/>
    <w:rsid w:val="00812285"/>
    <w:rsid w:val="00812BDD"/>
    <w:rsid w:val="00812DBF"/>
    <w:rsid w:val="00813FE0"/>
    <w:rsid w:val="0081712C"/>
    <w:rsid w:val="0082185C"/>
    <w:rsid w:val="0082476F"/>
    <w:rsid w:val="00826411"/>
    <w:rsid w:val="00830A0E"/>
    <w:rsid w:val="00833850"/>
    <w:rsid w:val="0083619C"/>
    <w:rsid w:val="00836476"/>
    <w:rsid w:val="00837967"/>
    <w:rsid w:val="00837D52"/>
    <w:rsid w:val="0084303C"/>
    <w:rsid w:val="00843C23"/>
    <w:rsid w:val="00844DDD"/>
    <w:rsid w:val="00844F03"/>
    <w:rsid w:val="0084619A"/>
    <w:rsid w:val="00850674"/>
    <w:rsid w:val="00854346"/>
    <w:rsid w:val="00855054"/>
    <w:rsid w:val="00862FA0"/>
    <w:rsid w:val="0086465A"/>
    <w:rsid w:val="00864790"/>
    <w:rsid w:val="00865A15"/>
    <w:rsid w:val="00866F48"/>
    <w:rsid w:val="00876637"/>
    <w:rsid w:val="00881C2B"/>
    <w:rsid w:val="00883152"/>
    <w:rsid w:val="00885B3E"/>
    <w:rsid w:val="008910A0"/>
    <w:rsid w:val="00892CDA"/>
    <w:rsid w:val="00895A3D"/>
    <w:rsid w:val="00896D57"/>
    <w:rsid w:val="0089708A"/>
    <w:rsid w:val="008A0370"/>
    <w:rsid w:val="008A0463"/>
    <w:rsid w:val="008A6DE0"/>
    <w:rsid w:val="008B6B16"/>
    <w:rsid w:val="008B7D51"/>
    <w:rsid w:val="008C1449"/>
    <w:rsid w:val="008C319A"/>
    <w:rsid w:val="008C4108"/>
    <w:rsid w:val="008C66B6"/>
    <w:rsid w:val="008C7866"/>
    <w:rsid w:val="008C7B18"/>
    <w:rsid w:val="008D292F"/>
    <w:rsid w:val="008D2AFB"/>
    <w:rsid w:val="008D556F"/>
    <w:rsid w:val="008D610B"/>
    <w:rsid w:val="008E01BA"/>
    <w:rsid w:val="008E149B"/>
    <w:rsid w:val="008E27F1"/>
    <w:rsid w:val="008E2963"/>
    <w:rsid w:val="008E4572"/>
    <w:rsid w:val="008F1BEC"/>
    <w:rsid w:val="008F3782"/>
    <w:rsid w:val="008F3EC8"/>
    <w:rsid w:val="008F4220"/>
    <w:rsid w:val="008F462B"/>
    <w:rsid w:val="008F4686"/>
    <w:rsid w:val="008F688F"/>
    <w:rsid w:val="008F69CB"/>
    <w:rsid w:val="008F7901"/>
    <w:rsid w:val="008F7A94"/>
    <w:rsid w:val="0090136B"/>
    <w:rsid w:val="0090249C"/>
    <w:rsid w:val="00904FFA"/>
    <w:rsid w:val="0090640A"/>
    <w:rsid w:val="00907698"/>
    <w:rsid w:val="0091246F"/>
    <w:rsid w:val="00914B8E"/>
    <w:rsid w:val="00916322"/>
    <w:rsid w:val="00920B2A"/>
    <w:rsid w:val="00920F80"/>
    <w:rsid w:val="00923A0B"/>
    <w:rsid w:val="00925FD0"/>
    <w:rsid w:val="009260BF"/>
    <w:rsid w:val="00931E87"/>
    <w:rsid w:val="009463ED"/>
    <w:rsid w:val="00950D07"/>
    <w:rsid w:val="00951A20"/>
    <w:rsid w:val="00952A46"/>
    <w:rsid w:val="00964149"/>
    <w:rsid w:val="00964CAA"/>
    <w:rsid w:val="0096569E"/>
    <w:rsid w:val="00970C09"/>
    <w:rsid w:val="009714EB"/>
    <w:rsid w:val="00971F83"/>
    <w:rsid w:val="00973525"/>
    <w:rsid w:val="0097774C"/>
    <w:rsid w:val="00977B13"/>
    <w:rsid w:val="00977B3F"/>
    <w:rsid w:val="0098074A"/>
    <w:rsid w:val="0098442E"/>
    <w:rsid w:val="00987F0A"/>
    <w:rsid w:val="009912A1"/>
    <w:rsid w:val="00991BC4"/>
    <w:rsid w:val="00994C91"/>
    <w:rsid w:val="009A1D92"/>
    <w:rsid w:val="009A1F3C"/>
    <w:rsid w:val="009A1FA0"/>
    <w:rsid w:val="009A3593"/>
    <w:rsid w:val="009A4779"/>
    <w:rsid w:val="009A69A8"/>
    <w:rsid w:val="009A6E7B"/>
    <w:rsid w:val="009A7550"/>
    <w:rsid w:val="009B02B5"/>
    <w:rsid w:val="009B1ECF"/>
    <w:rsid w:val="009B207D"/>
    <w:rsid w:val="009B42C3"/>
    <w:rsid w:val="009B461F"/>
    <w:rsid w:val="009B4BCD"/>
    <w:rsid w:val="009B5180"/>
    <w:rsid w:val="009C007E"/>
    <w:rsid w:val="009C26D0"/>
    <w:rsid w:val="009C2C5C"/>
    <w:rsid w:val="009C317E"/>
    <w:rsid w:val="009D0BEB"/>
    <w:rsid w:val="009D349F"/>
    <w:rsid w:val="009D37D9"/>
    <w:rsid w:val="009D462F"/>
    <w:rsid w:val="009D538F"/>
    <w:rsid w:val="009D55D9"/>
    <w:rsid w:val="009E1A93"/>
    <w:rsid w:val="009E2E38"/>
    <w:rsid w:val="009E4269"/>
    <w:rsid w:val="009E4524"/>
    <w:rsid w:val="009E5014"/>
    <w:rsid w:val="009F290E"/>
    <w:rsid w:val="009F3C85"/>
    <w:rsid w:val="009F448C"/>
    <w:rsid w:val="009F518B"/>
    <w:rsid w:val="009F5E28"/>
    <w:rsid w:val="00A026E0"/>
    <w:rsid w:val="00A05EA4"/>
    <w:rsid w:val="00A10256"/>
    <w:rsid w:val="00A12CE1"/>
    <w:rsid w:val="00A13A5E"/>
    <w:rsid w:val="00A13D05"/>
    <w:rsid w:val="00A1497A"/>
    <w:rsid w:val="00A150A1"/>
    <w:rsid w:val="00A16834"/>
    <w:rsid w:val="00A214D6"/>
    <w:rsid w:val="00A21551"/>
    <w:rsid w:val="00A2440F"/>
    <w:rsid w:val="00A27172"/>
    <w:rsid w:val="00A30C2F"/>
    <w:rsid w:val="00A31264"/>
    <w:rsid w:val="00A3149C"/>
    <w:rsid w:val="00A31F5B"/>
    <w:rsid w:val="00A35084"/>
    <w:rsid w:val="00A3667C"/>
    <w:rsid w:val="00A36A42"/>
    <w:rsid w:val="00A41BCE"/>
    <w:rsid w:val="00A4557B"/>
    <w:rsid w:val="00A53C4B"/>
    <w:rsid w:val="00A55CA6"/>
    <w:rsid w:val="00A55FF7"/>
    <w:rsid w:val="00A560C9"/>
    <w:rsid w:val="00A5783A"/>
    <w:rsid w:val="00A57B1A"/>
    <w:rsid w:val="00A57E5C"/>
    <w:rsid w:val="00A623B1"/>
    <w:rsid w:val="00A661C5"/>
    <w:rsid w:val="00A7245F"/>
    <w:rsid w:val="00A72D05"/>
    <w:rsid w:val="00A73F70"/>
    <w:rsid w:val="00A759F8"/>
    <w:rsid w:val="00A7605C"/>
    <w:rsid w:val="00A76487"/>
    <w:rsid w:val="00A91940"/>
    <w:rsid w:val="00AA4E02"/>
    <w:rsid w:val="00AB1D33"/>
    <w:rsid w:val="00AB3500"/>
    <w:rsid w:val="00AB785B"/>
    <w:rsid w:val="00AC042A"/>
    <w:rsid w:val="00AC1CDF"/>
    <w:rsid w:val="00AC2A47"/>
    <w:rsid w:val="00AC5A72"/>
    <w:rsid w:val="00AC72CF"/>
    <w:rsid w:val="00AD7DED"/>
    <w:rsid w:val="00AE22AB"/>
    <w:rsid w:val="00AE3E9F"/>
    <w:rsid w:val="00AE6FC1"/>
    <w:rsid w:val="00AF055F"/>
    <w:rsid w:val="00AF5E7B"/>
    <w:rsid w:val="00AF6E30"/>
    <w:rsid w:val="00B002C6"/>
    <w:rsid w:val="00B00AD7"/>
    <w:rsid w:val="00B01F1A"/>
    <w:rsid w:val="00B02A6D"/>
    <w:rsid w:val="00B04C69"/>
    <w:rsid w:val="00B10120"/>
    <w:rsid w:val="00B121DE"/>
    <w:rsid w:val="00B21246"/>
    <w:rsid w:val="00B22317"/>
    <w:rsid w:val="00B23E2A"/>
    <w:rsid w:val="00B24870"/>
    <w:rsid w:val="00B24EE7"/>
    <w:rsid w:val="00B2577C"/>
    <w:rsid w:val="00B26612"/>
    <w:rsid w:val="00B30C2C"/>
    <w:rsid w:val="00B321E4"/>
    <w:rsid w:val="00B333E4"/>
    <w:rsid w:val="00B34C94"/>
    <w:rsid w:val="00B3517B"/>
    <w:rsid w:val="00B35448"/>
    <w:rsid w:val="00B36543"/>
    <w:rsid w:val="00B36ADB"/>
    <w:rsid w:val="00B36EFD"/>
    <w:rsid w:val="00B3733A"/>
    <w:rsid w:val="00B378B9"/>
    <w:rsid w:val="00B40EDD"/>
    <w:rsid w:val="00B42CA5"/>
    <w:rsid w:val="00B45073"/>
    <w:rsid w:val="00B45492"/>
    <w:rsid w:val="00B46D52"/>
    <w:rsid w:val="00B4785C"/>
    <w:rsid w:val="00B50AA7"/>
    <w:rsid w:val="00B53AC7"/>
    <w:rsid w:val="00B5539B"/>
    <w:rsid w:val="00B553F3"/>
    <w:rsid w:val="00B55D0C"/>
    <w:rsid w:val="00B62453"/>
    <w:rsid w:val="00B642FC"/>
    <w:rsid w:val="00B64DD5"/>
    <w:rsid w:val="00B66534"/>
    <w:rsid w:val="00B67487"/>
    <w:rsid w:val="00B710DC"/>
    <w:rsid w:val="00B71DFC"/>
    <w:rsid w:val="00B7388A"/>
    <w:rsid w:val="00B7400E"/>
    <w:rsid w:val="00B827C8"/>
    <w:rsid w:val="00B8752B"/>
    <w:rsid w:val="00B87743"/>
    <w:rsid w:val="00B878B9"/>
    <w:rsid w:val="00B90466"/>
    <w:rsid w:val="00B94494"/>
    <w:rsid w:val="00B9478C"/>
    <w:rsid w:val="00B96F3E"/>
    <w:rsid w:val="00B97258"/>
    <w:rsid w:val="00BA15E2"/>
    <w:rsid w:val="00BA1B52"/>
    <w:rsid w:val="00BA1DC4"/>
    <w:rsid w:val="00BA2BC4"/>
    <w:rsid w:val="00BA4B39"/>
    <w:rsid w:val="00BA556A"/>
    <w:rsid w:val="00BA6366"/>
    <w:rsid w:val="00BA6F75"/>
    <w:rsid w:val="00BA7086"/>
    <w:rsid w:val="00BB06C2"/>
    <w:rsid w:val="00BB06FD"/>
    <w:rsid w:val="00BB0F8D"/>
    <w:rsid w:val="00BB207D"/>
    <w:rsid w:val="00BB5575"/>
    <w:rsid w:val="00BC1702"/>
    <w:rsid w:val="00BC2F28"/>
    <w:rsid w:val="00BD03F4"/>
    <w:rsid w:val="00BD10FF"/>
    <w:rsid w:val="00BD2D80"/>
    <w:rsid w:val="00BD4328"/>
    <w:rsid w:val="00BD4F24"/>
    <w:rsid w:val="00BE04AC"/>
    <w:rsid w:val="00BE14DE"/>
    <w:rsid w:val="00BE3C17"/>
    <w:rsid w:val="00BE40C0"/>
    <w:rsid w:val="00BE73A3"/>
    <w:rsid w:val="00BE781B"/>
    <w:rsid w:val="00BF07B7"/>
    <w:rsid w:val="00BF76B9"/>
    <w:rsid w:val="00C03426"/>
    <w:rsid w:val="00C04A83"/>
    <w:rsid w:val="00C0511B"/>
    <w:rsid w:val="00C064E1"/>
    <w:rsid w:val="00C11ADD"/>
    <w:rsid w:val="00C13994"/>
    <w:rsid w:val="00C17544"/>
    <w:rsid w:val="00C21070"/>
    <w:rsid w:val="00C2147C"/>
    <w:rsid w:val="00C24C18"/>
    <w:rsid w:val="00C259CB"/>
    <w:rsid w:val="00C25A31"/>
    <w:rsid w:val="00C26E2F"/>
    <w:rsid w:val="00C26E57"/>
    <w:rsid w:val="00C26EA4"/>
    <w:rsid w:val="00C33E99"/>
    <w:rsid w:val="00C37BA6"/>
    <w:rsid w:val="00C43BFD"/>
    <w:rsid w:val="00C440E0"/>
    <w:rsid w:val="00C45686"/>
    <w:rsid w:val="00C465D6"/>
    <w:rsid w:val="00C47A40"/>
    <w:rsid w:val="00C5026B"/>
    <w:rsid w:val="00C50C8C"/>
    <w:rsid w:val="00C515B8"/>
    <w:rsid w:val="00C52299"/>
    <w:rsid w:val="00C52611"/>
    <w:rsid w:val="00C55E8F"/>
    <w:rsid w:val="00C56530"/>
    <w:rsid w:val="00C64637"/>
    <w:rsid w:val="00C72F3D"/>
    <w:rsid w:val="00C74B46"/>
    <w:rsid w:val="00C7638E"/>
    <w:rsid w:val="00C85066"/>
    <w:rsid w:val="00C909CD"/>
    <w:rsid w:val="00C9110B"/>
    <w:rsid w:val="00C95820"/>
    <w:rsid w:val="00C95E16"/>
    <w:rsid w:val="00C974EA"/>
    <w:rsid w:val="00CA28E0"/>
    <w:rsid w:val="00CA3B77"/>
    <w:rsid w:val="00CA4AED"/>
    <w:rsid w:val="00CA5108"/>
    <w:rsid w:val="00CB07A1"/>
    <w:rsid w:val="00CB1C65"/>
    <w:rsid w:val="00CB2F88"/>
    <w:rsid w:val="00CB76EE"/>
    <w:rsid w:val="00CC27A9"/>
    <w:rsid w:val="00CC4D46"/>
    <w:rsid w:val="00CC69F2"/>
    <w:rsid w:val="00CD141A"/>
    <w:rsid w:val="00CD337F"/>
    <w:rsid w:val="00CD3F73"/>
    <w:rsid w:val="00CD4857"/>
    <w:rsid w:val="00CD66FA"/>
    <w:rsid w:val="00CD720D"/>
    <w:rsid w:val="00CE0C77"/>
    <w:rsid w:val="00CF1E6B"/>
    <w:rsid w:val="00CF4C56"/>
    <w:rsid w:val="00CF7E91"/>
    <w:rsid w:val="00D12413"/>
    <w:rsid w:val="00D12F60"/>
    <w:rsid w:val="00D14803"/>
    <w:rsid w:val="00D23297"/>
    <w:rsid w:val="00D26C88"/>
    <w:rsid w:val="00D31552"/>
    <w:rsid w:val="00D343A0"/>
    <w:rsid w:val="00D35067"/>
    <w:rsid w:val="00D359A1"/>
    <w:rsid w:val="00D365E4"/>
    <w:rsid w:val="00D37F53"/>
    <w:rsid w:val="00D40372"/>
    <w:rsid w:val="00D4108F"/>
    <w:rsid w:val="00D424C0"/>
    <w:rsid w:val="00D43857"/>
    <w:rsid w:val="00D459A3"/>
    <w:rsid w:val="00D47FC1"/>
    <w:rsid w:val="00D57CBF"/>
    <w:rsid w:val="00D607DF"/>
    <w:rsid w:val="00D609E4"/>
    <w:rsid w:val="00D64025"/>
    <w:rsid w:val="00D645A9"/>
    <w:rsid w:val="00D64AB2"/>
    <w:rsid w:val="00D64EF4"/>
    <w:rsid w:val="00D67C0B"/>
    <w:rsid w:val="00D70A0C"/>
    <w:rsid w:val="00D74B45"/>
    <w:rsid w:val="00D75204"/>
    <w:rsid w:val="00D75831"/>
    <w:rsid w:val="00D758E7"/>
    <w:rsid w:val="00D80CF8"/>
    <w:rsid w:val="00D82EC8"/>
    <w:rsid w:val="00D833C8"/>
    <w:rsid w:val="00D847A7"/>
    <w:rsid w:val="00D8623C"/>
    <w:rsid w:val="00D87424"/>
    <w:rsid w:val="00D90885"/>
    <w:rsid w:val="00D92C9E"/>
    <w:rsid w:val="00D96D44"/>
    <w:rsid w:val="00D97855"/>
    <w:rsid w:val="00D97D0E"/>
    <w:rsid w:val="00DA18DC"/>
    <w:rsid w:val="00DA1D52"/>
    <w:rsid w:val="00DA5A80"/>
    <w:rsid w:val="00DA5CE4"/>
    <w:rsid w:val="00DA7180"/>
    <w:rsid w:val="00DA73D9"/>
    <w:rsid w:val="00DB173A"/>
    <w:rsid w:val="00DB1AB6"/>
    <w:rsid w:val="00DB2443"/>
    <w:rsid w:val="00DB5A52"/>
    <w:rsid w:val="00DB7790"/>
    <w:rsid w:val="00DD1E0F"/>
    <w:rsid w:val="00DD3763"/>
    <w:rsid w:val="00DD3E17"/>
    <w:rsid w:val="00DD79F0"/>
    <w:rsid w:val="00DE0C3B"/>
    <w:rsid w:val="00DE0E8A"/>
    <w:rsid w:val="00DE2B6A"/>
    <w:rsid w:val="00DE448E"/>
    <w:rsid w:val="00DE5875"/>
    <w:rsid w:val="00DE7CE0"/>
    <w:rsid w:val="00DF2EF6"/>
    <w:rsid w:val="00DF7B82"/>
    <w:rsid w:val="00E018F8"/>
    <w:rsid w:val="00E03A09"/>
    <w:rsid w:val="00E045C8"/>
    <w:rsid w:val="00E05D17"/>
    <w:rsid w:val="00E07C48"/>
    <w:rsid w:val="00E1082E"/>
    <w:rsid w:val="00E10CB0"/>
    <w:rsid w:val="00E115AD"/>
    <w:rsid w:val="00E11D1F"/>
    <w:rsid w:val="00E14BBA"/>
    <w:rsid w:val="00E209BA"/>
    <w:rsid w:val="00E21545"/>
    <w:rsid w:val="00E233DC"/>
    <w:rsid w:val="00E25D4A"/>
    <w:rsid w:val="00E274EC"/>
    <w:rsid w:val="00E30EF2"/>
    <w:rsid w:val="00E31C60"/>
    <w:rsid w:val="00E3206E"/>
    <w:rsid w:val="00E32295"/>
    <w:rsid w:val="00E32B8E"/>
    <w:rsid w:val="00E33C0C"/>
    <w:rsid w:val="00E3404B"/>
    <w:rsid w:val="00E36CB4"/>
    <w:rsid w:val="00E45407"/>
    <w:rsid w:val="00E4560B"/>
    <w:rsid w:val="00E45D92"/>
    <w:rsid w:val="00E47DA3"/>
    <w:rsid w:val="00E56AB3"/>
    <w:rsid w:val="00E57094"/>
    <w:rsid w:val="00E62381"/>
    <w:rsid w:val="00E63281"/>
    <w:rsid w:val="00E636F1"/>
    <w:rsid w:val="00E6416F"/>
    <w:rsid w:val="00E66273"/>
    <w:rsid w:val="00E67578"/>
    <w:rsid w:val="00E71F34"/>
    <w:rsid w:val="00E73BBD"/>
    <w:rsid w:val="00E75098"/>
    <w:rsid w:val="00E756D4"/>
    <w:rsid w:val="00E77259"/>
    <w:rsid w:val="00E80D19"/>
    <w:rsid w:val="00E80E4F"/>
    <w:rsid w:val="00E81132"/>
    <w:rsid w:val="00E86B1F"/>
    <w:rsid w:val="00E874FF"/>
    <w:rsid w:val="00E93368"/>
    <w:rsid w:val="00E93BAE"/>
    <w:rsid w:val="00E9693F"/>
    <w:rsid w:val="00EA145B"/>
    <w:rsid w:val="00EA1A6E"/>
    <w:rsid w:val="00EA5AAA"/>
    <w:rsid w:val="00EA5BE3"/>
    <w:rsid w:val="00EA6BE8"/>
    <w:rsid w:val="00EA6CB5"/>
    <w:rsid w:val="00EA6DDE"/>
    <w:rsid w:val="00EB0D77"/>
    <w:rsid w:val="00EB25C9"/>
    <w:rsid w:val="00EB58B5"/>
    <w:rsid w:val="00EC4510"/>
    <w:rsid w:val="00EC76DF"/>
    <w:rsid w:val="00EC76E3"/>
    <w:rsid w:val="00EC7A32"/>
    <w:rsid w:val="00EC7E8F"/>
    <w:rsid w:val="00ED075C"/>
    <w:rsid w:val="00ED120F"/>
    <w:rsid w:val="00ED1B79"/>
    <w:rsid w:val="00ED1FEE"/>
    <w:rsid w:val="00ED264E"/>
    <w:rsid w:val="00ED294E"/>
    <w:rsid w:val="00ED2B42"/>
    <w:rsid w:val="00ED35FB"/>
    <w:rsid w:val="00EE1FFD"/>
    <w:rsid w:val="00EE3860"/>
    <w:rsid w:val="00EE3BEA"/>
    <w:rsid w:val="00EE3CF7"/>
    <w:rsid w:val="00EE549B"/>
    <w:rsid w:val="00EE7665"/>
    <w:rsid w:val="00EF00A5"/>
    <w:rsid w:val="00EF07E2"/>
    <w:rsid w:val="00EF5AA7"/>
    <w:rsid w:val="00EF5D70"/>
    <w:rsid w:val="00EF7244"/>
    <w:rsid w:val="00F00910"/>
    <w:rsid w:val="00F02E48"/>
    <w:rsid w:val="00F04013"/>
    <w:rsid w:val="00F042F3"/>
    <w:rsid w:val="00F05533"/>
    <w:rsid w:val="00F10961"/>
    <w:rsid w:val="00F12CD7"/>
    <w:rsid w:val="00F154A2"/>
    <w:rsid w:val="00F15900"/>
    <w:rsid w:val="00F17AC6"/>
    <w:rsid w:val="00F20EC2"/>
    <w:rsid w:val="00F2125C"/>
    <w:rsid w:val="00F217C4"/>
    <w:rsid w:val="00F22D98"/>
    <w:rsid w:val="00F244EE"/>
    <w:rsid w:val="00F253FF"/>
    <w:rsid w:val="00F27E26"/>
    <w:rsid w:val="00F30A18"/>
    <w:rsid w:val="00F323A5"/>
    <w:rsid w:val="00F340D8"/>
    <w:rsid w:val="00F34380"/>
    <w:rsid w:val="00F37445"/>
    <w:rsid w:val="00F42388"/>
    <w:rsid w:val="00F4542F"/>
    <w:rsid w:val="00F45F65"/>
    <w:rsid w:val="00F5373B"/>
    <w:rsid w:val="00F53898"/>
    <w:rsid w:val="00F53A53"/>
    <w:rsid w:val="00F53BF5"/>
    <w:rsid w:val="00F545D2"/>
    <w:rsid w:val="00F55C10"/>
    <w:rsid w:val="00F63925"/>
    <w:rsid w:val="00F64151"/>
    <w:rsid w:val="00F65482"/>
    <w:rsid w:val="00F71C37"/>
    <w:rsid w:val="00F72CC4"/>
    <w:rsid w:val="00F74473"/>
    <w:rsid w:val="00F816B3"/>
    <w:rsid w:val="00F8303A"/>
    <w:rsid w:val="00F831C1"/>
    <w:rsid w:val="00F8347A"/>
    <w:rsid w:val="00F83CDC"/>
    <w:rsid w:val="00F83F2C"/>
    <w:rsid w:val="00F86D0A"/>
    <w:rsid w:val="00F8742C"/>
    <w:rsid w:val="00F875FF"/>
    <w:rsid w:val="00F90F30"/>
    <w:rsid w:val="00F94528"/>
    <w:rsid w:val="00F95616"/>
    <w:rsid w:val="00F95CE3"/>
    <w:rsid w:val="00F972C6"/>
    <w:rsid w:val="00F97692"/>
    <w:rsid w:val="00FA24C9"/>
    <w:rsid w:val="00FA3DAE"/>
    <w:rsid w:val="00FA5931"/>
    <w:rsid w:val="00FA5BE3"/>
    <w:rsid w:val="00FA7BEE"/>
    <w:rsid w:val="00FB045C"/>
    <w:rsid w:val="00FB0C22"/>
    <w:rsid w:val="00FB13DD"/>
    <w:rsid w:val="00FB21C7"/>
    <w:rsid w:val="00FB443C"/>
    <w:rsid w:val="00FB644A"/>
    <w:rsid w:val="00FC074D"/>
    <w:rsid w:val="00FC0BFD"/>
    <w:rsid w:val="00FC1BAC"/>
    <w:rsid w:val="00FC1C89"/>
    <w:rsid w:val="00FC2EC5"/>
    <w:rsid w:val="00FC3466"/>
    <w:rsid w:val="00FC4633"/>
    <w:rsid w:val="00FC5C69"/>
    <w:rsid w:val="00FC5DEA"/>
    <w:rsid w:val="00FC70E3"/>
    <w:rsid w:val="00FD105D"/>
    <w:rsid w:val="00FD38DB"/>
    <w:rsid w:val="00FD38F8"/>
    <w:rsid w:val="00FD396D"/>
    <w:rsid w:val="00FD3E3E"/>
    <w:rsid w:val="00FD53BC"/>
    <w:rsid w:val="00FD6B2B"/>
    <w:rsid w:val="00FF08E4"/>
    <w:rsid w:val="00FF2EBD"/>
    <w:rsid w:val="5DAF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5E963"/>
  <w15:docId w15:val="{F0E0492D-67CE-4BC1-BA29-5F20A6D8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firstLineChars="200" w:firstLine="420"/>
    </w:pPr>
  </w:style>
  <w:style w:type="paragraph" w:customStyle="1" w:styleId="1">
    <w:name w:val="书目1"/>
    <w:basedOn w:val="Normal"/>
    <w:next w:val="Normal"/>
    <w:uiPriority w:val="37"/>
    <w:unhideWhenUsed/>
    <w:qFormat/>
    <w:pPr>
      <w:tabs>
        <w:tab w:val="left" w:pos="384"/>
      </w:tabs>
      <w:ind w:left="384" w:hanging="384"/>
    </w:pPr>
  </w:style>
  <w:style w:type="paragraph" w:styleId="Bibliography">
    <w:name w:val="Bibliography"/>
    <w:basedOn w:val="Normal"/>
    <w:next w:val="Normal"/>
    <w:uiPriority w:val="37"/>
    <w:unhideWhenUsed/>
    <w:rsid w:val="005026AB"/>
    <w:pPr>
      <w:tabs>
        <w:tab w:val="left" w:pos="504"/>
      </w:tabs>
      <w:spacing w:after="240"/>
      <w:ind w:left="504" w:hanging="504"/>
    </w:pPr>
  </w:style>
  <w:style w:type="character" w:styleId="Hyperlink">
    <w:name w:val="Hyperlink"/>
    <w:basedOn w:val="DefaultParagraphFont"/>
    <w:uiPriority w:val="99"/>
    <w:unhideWhenUsed/>
    <w:qFormat/>
    <w:rsid w:val="00A2440F"/>
    <w:rPr>
      <w:color w:val="467886" w:themeColor="hyperlink"/>
      <w:u w:val="single"/>
    </w:rPr>
  </w:style>
  <w:style w:type="character" w:styleId="UnresolvedMention">
    <w:name w:val="Unresolved Mention"/>
    <w:basedOn w:val="DefaultParagraphFont"/>
    <w:uiPriority w:val="99"/>
    <w:semiHidden/>
    <w:unhideWhenUsed/>
    <w:rsid w:val="00A2440F"/>
    <w:rPr>
      <w:color w:val="605E5C"/>
      <w:shd w:val="clear" w:color="auto" w:fill="E1DFDD"/>
    </w:rPr>
  </w:style>
  <w:style w:type="paragraph" w:styleId="Caption">
    <w:name w:val="caption"/>
    <w:basedOn w:val="Normal"/>
    <w:next w:val="Normal"/>
    <w:uiPriority w:val="35"/>
    <w:unhideWhenUsed/>
    <w:qFormat/>
    <w:rsid w:val="001451B5"/>
    <w:rPr>
      <w:rFonts w:asciiTheme="majorHAnsi" w:eastAsia="SimHei" w:hAnsiTheme="majorHAnsi" w:cstheme="majorBidi"/>
      <w:sz w:val="20"/>
      <w:szCs w:val="20"/>
    </w:rPr>
  </w:style>
  <w:style w:type="paragraph" w:styleId="Revision">
    <w:name w:val="Revision"/>
    <w:hidden/>
    <w:uiPriority w:val="99"/>
    <w:unhideWhenUsed/>
    <w:rsid w:val="0054453C"/>
    <w:rPr>
      <w:kern w:val="2"/>
      <w:sz w:val="21"/>
      <w:szCs w:val="22"/>
      <w14:ligatures w14:val="standardContextual"/>
    </w:rPr>
  </w:style>
  <w:style w:type="paragraph" w:styleId="FootnoteText">
    <w:name w:val="footnote text"/>
    <w:basedOn w:val="Normal"/>
    <w:link w:val="FootnoteTextChar"/>
    <w:uiPriority w:val="99"/>
    <w:semiHidden/>
    <w:unhideWhenUsed/>
    <w:rsid w:val="00F545D2"/>
    <w:pPr>
      <w:snapToGrid w:val="0"/>
      <w:jc w:val="left"/>
    </w:pPr>
    <w:rPr>
      <w:sz w:val="18"/>
      <w:szCs w:val="18"/>
    </w:rPr>
  </w:style>
  <w:style w:type="character" w:customStyle="1" w:styleId="FootnoteTextChar">
    <w:name w:val="Footnote Text Char"/>
    <w:basedOn w:val="DefaultParagraphFont"/>
    <w:link w:val="FootnoteText"/>
    <w:uiPriority w:val="99"/>
    <w:semiHidden/>
    <w:rsid w:val="00F545D2"/>
    <w:rPr>
      <w:kern w:val="2"/>
      <w:sz w:val="18"/>
      <w:szCs w:val="18"/>
      <w14:ligatures w14:val="standardContextual"/>
    </w:rPr>
  </w:style>
  <w:style w:type="character" w:styleId="FootnoteReference">
    <w:name w:val="footnote reference"/>
    <w:basedOn w:val="DefaultParagraphFont"/>
    <w:uiPriority w:val="99"/>
    <w:semiHidden/>
    <w:unhideWhenUsed/>
    <w:rsid w:val="00F545D2"/>
    <w:rPr>
      <w:vertAlign w:val="superscript"/>
    </w:rPr>
  </w:style>
  <w:style w:type="paragraph" w:styleId="NormalWeb">
    <w:name w:val="Normal (Web)"/>
    <w:basedOn w:val="Normal"/>
    <w:uiPriority w:val="99"/>
    <w:semiHidden/>
    <w:unhideWhenUsed/>
    <w:rsid w:val="00744B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4293">
      <w:bodyDiv w:val="1"/>
      <w:marLeft w:val="0"/>
      <w:marRight w:val="0"/>
      <w:marTop w:val="0"/>
      <w:marBottom w:val="0"/>
      <w:divBdr>
        <w:top w:val="none" w:sz="0" w:space="0" w:color="auto"/>
        <w:left w:val="none" w:sz="0" w:space="0" w:color="auto"/>
        <w:bottom w:val="none" w:sz="0" w:space="0" w:color="auto"/>
        <w:right w:val="none" w:sz="0" w:space="0" w:color="auto"/>
      </w:divBdr>
    </w:div>
    <w:div w:id="280306957">
      <w:bodyDiv w:val="1"/>
      <w:marLeft w:val="0"/>
      <w:marRight w:val="0"/>
      <w:marTop w:val="0"/>
      <w:marBottom w:val="0"/>
      <w:divBdr>
        <w:top w:val="none" w:sz="0" w:space="0" w:color="auto"/>
        <w:left w:val="none" w:sz="0" w:space="0" w:color="auto"/>
        <w:bottom w:val="none" w:sz="0" w:space="0" w:color="auto"/>
        <w:right w:val="none" w:sz="0" w:space="0" w:color="auto"/>
      </w:divBdr>
    </w:div>
    <w:div w:id="304356592">
      <w:bodyDiv w:val="1"/>
      <w:marLeft w:val="0"/>
      <w:marRight w:val="0"/>
      <w:marTop w:val="0"/>
      <w:marBottom w:val="0"/>
      <w:divBdr>
        <w:top w:val="none" w:sz="0" w:space="0" w:color="auto"/>
        <w:left w:val="none" w:sz="0" w:space="0" w:color="auto"/>
        <w:bottom w:val="none" w:sz="0" w:space="0" w:color="auto"/>
        <w:right w:val="none" w:sz="0" w:space="0" w:color="auto"/>
      </w:divBdr>
    </w:div>
    <w:div w:id="845705430">
      <w:bodyDiv w:val="1"/>
      <w:marLeft w:val="0"/>
      <w:marRight w:val="0"/>
      <w:marTop w:val="0"/>
      <w:marBottom w:val="0"/>
      <w:divBdr>
        <w:top w:val="none" w:sz="0" w:space="0" w:color="auto"/>
        <w:left w:val="none" w:sz="0" w:space="0" w:color="auto"/>
        <w:bottom w:val="none" w:sz="0" w:space="0" w:color="auto"/>
        <w:right w:val="none" w:sz="0" w:space="0" w:color="auto"/>
      </w:divBdr>
    </w:div>
    <w:div w:id="906572636">
      <w:bodyDiv w:val="1"/>
      <w:marLeft w:val="0"/>
      <w:marRight w:val="0"/>
      <w:marTop w:val="0"/>
      <w:marBottom w:val="0"/>
      <w:divBdr>
        <w:top w:val="none" w:sz="0" w:space="0" w:color="auto"/>
        <w:left w:val="none" w:sz="0" w:space="0" w:color="auto"/>
        <w:bottom w:val="none" w:sz="0" w:space="0" w:color="auto"/>
        <w:right w:val="none" w:sz="0" w:space="0" w:color="auto"/>
      </w:divBdr>
    </w:div>
    <w:div w:id="1223443983">
      <w:bodyDiv w:val="1"/>
      <w:marLeft w:val="0"/>
      <w:marRight w:val="0"/>
      <w:marTop w:val="0"/>
      <w:marBottom w:val="0"/>
      <w:divBdr>
        <w:top w:val="none" w:sz="0" w:space="0" w:color="auto"/>
        <w:left w:val="none" w:sz="0" w:space="0" w:color="auto"/>
        <w:bottom w:val="none" w:sz="0" w:space="0" w:color="auto"/>
        <w:right w:val="none" w:sz="0" w:space="0" w:color="auto"/>
      </w:divBdr>
    </w:div>
    <w:div w:id="2017224649">
      <w:bodyDiv w:val="1"/>
      <w:marLeft w:val="0"/>
      <w:marRight w:val="0"/>
      <w:marTop w:val="0"/>
      <w:marBottom w:val="0"/>
      <w:divBdr>
        <w:top w:val="none" w:sz="0" w:space="0" w:color="auto"/>
        <w:left w:val="none" w:sz="0" w:space="0" w:color="auto"/>
        <w:bottom w:val="none" w:sz="0" w:space="0" w:color="auto"/>
        <w:right w:val="none" w:sz="0" w:space="0" w:color="auto"/>
      </w:divBdr>
    </w:div>
    <w:div w:id="2083065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5F008-C61A-46CD-9FF6-50784461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12</Pages>
  <Words>3101</Words>
  <Characters>17681</Characters>
  <Application>Microsoft Office Word</Application>
  <DocSecurity>0</DocSecurity>
  <Lines>147</Lines>
  <Paragraphs>41</Paragraphs>
  <ScaleCrop>false</ScaleCrop>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运淇 刘</dc:creator>
  <cp:lastModifiedBy>admin</cp:lastModifiedBy>
  <cp:revision>51</cp:revision>
  <dcterms:created xsi:type="dcterms:W3CDTF">2025-06-19T08:16:00Z</dcterms:created>
  <dcterms:modified xsi:type="dcterms:W3CDTF">2026-05-30T04:43:00Z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id="MzU2C2pf"/&gt;&lt;style id="http://www.zotero.org/styles/african-online-scientific-information-systems-vancouver" hasBibliography="1" bibliographyStyleHasBeenSet="1"/&gt;&lt;prefs&gt;&lt;pref name="fieldType" valu</vt:lpwstr>
  </property>
  <property fmtid="{D5CDD505-2E9C-101B-9397-08002B2CF9AE}" pid="3" name="KSOTemplateDocerSaveRecord">
    <vt:lpwstr>eyJoZGlkIjoiMjkwM2VmNmYyNjQ5ZTgzYmFjZTBhZGUwZmU3MzVmNDYiLCJ1c2VySWQiOiIyNTIzNjE2OTMifQ==</vt:lpwstr>
  </property>
  <property fmtid="{D5CDD505-2E9C-101B-9397-08002B2CF9AE}" pid="4" name="KSOProductBuildVer">
    <vt:lpwstr>2052-12.1.0.19770</vt:lpwstr>
  </property>
  <property fmtid="{D5CDD505-2E9C-101B-9397-08002B2CF9AE}" pid="5" name="ICV">
    <vt:lpwstr>DAAC0B9660E6486C93C5A5883C719D0D_13</vt:lpwstr>
  </property>
  <property fmtid="{D5CDD505-2E9C-101B-9397-08002B2CF9AE}" pid="6" name="ZOTERO_PREF_2">
    <vt:lpwstr>e="Field"/&gt;&lt;/prefs&gt;&lt;/data&gt;</vt:lpwstr>
  </property>
</Properties>
</file>